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0944D" w14:textId="43C8594D" w:rsidR="00C5353B" w:rsidRDefault="00C5353B" w:rsidP="00C5353B">
      <w:pPr>
        <w:jc w:val="center"/>
        <w:rPr>
          <w:b/>
        </w:rPr>
      </w:pPr>
      <w:r>
        <w:rPr>
          <w:noProof/>
        </w:rPr>
        <w:drawing>
          <wp:inline distT="0" distB="0" distL="0" distR="0" wp14:anchorId="611FB569" wp14:editId="187F6CDE">
            <wp:extent cx="1794681" cy="4815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211" cy="51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6AF38" w14:textId="77777777" w:rsidR="00CB3B60" w:rsidRDefault="00CB3B60" w:rsidP="00C5353B">
      <w:pPr>
        <w:jc w:val="center"/>
        <w:rPr>
          <w:b/>
        </w:rPr>
      </w:pPr>
    </w:p>
    <w:p w14:paraId="0FD8FBC1" w14:textId="123ED3E9" w:rsidR="00A9263D" w:rsidRPr="00CB3B60" w:rsidRDefault="00A9263D" w:rsidP="00A9263D">
      <w:pPr>
        <w:spacing w:before="120" w:line="240" w:lineRule="auto"/>
        <w:jc w:val="center"/>
      </w:pPr>
      <w:r w:rsidRPr="00CB3B60">
        <w:rPr>
          <w:b/>
          <w:color w:val="4F81BD" w:themeColor="accent1"/>
        </w:rPr>
        <w:t>KOMISE PRO ŽIVOTNÍ PROSTŘEDÍ AV ČR</w:t>
      </w:r>
    </w:p>
    <w:p w14:paraId="57FDAFA2" w14:textId="12E90106" w:rsidR="00A9263D" w:rsidRDefault="00A9263D" w:rsidP="00A9263D">
      <w:pPr>
        <w:spacing w:before="120" w:line="240" w:lineRule="auto"/>
        <w:jc w:val="center"/>
      </w:pPr>
      <w:r>
        <w:t>COMMITTEE FOR THE ENVIRONMENT</w:t>
      </w:r>
    </w:p>
    <w:p w14:paraId="3A47D0D7" w14:textId="77777777" w:rsidR="00A9263D" w:rsidRDefault="00A9263D" w:rsidP="00A9263D">
      <w:pPr>
        <w:spacing w:line="240" w:lineRule="auto"/>
        <w:jc w:val="center"/>
      </w:pPr>
      <w:r>
        <w:t>OF THE ACADEMY OF SCIENCES OF THE CZECH REPUBLIC</w:t>
      </w:r>
    </w:p>
    <w:p w14:paraId="5B0E8B2A" w14:textId="40EFA4F8" w:rsidR="00A9263D" w:rsidRPr="00CB3B60" w:rsidRDefault="00A9263D" w:rsidP="00CB3B60">
      <w:pPr>
        <w:spacing w:before="120" w:line="240" w:lineRule="auto"/>
        <w:jc w:val="center"/>
      </w:pPr>
      <w:r>
        <w:t>Národní 3, 117 20 Praha</w:t>
      </w:r>
      <w:r w:rsidR="00CB3B60">
        <w:t xml:space="preserve"> 1</w:t>
      </w:r>
    </w:p>
    <w:p w14:paraId="6ED2C428" w14:textId="77777777" w:rsidR="00C5353B" w:rsidRPr="00F92F31" w:rsidRDefault="00C5353B">
      <w:pPr>
        <w:rPr>
          <w:b/>
          <w:color w:val="4F81BD" w:themeColor="accent1"/>
        </w:rPr>
      </w:pPr>
    </w:p>
    <w:p w14:paraId="00000001" w14:textId="49D06CDD" w:rsidR="007E14EA" w:rsidRPr="00F92F31" w:rsidRDefault="00A9263D" w:rsidP="00C5353B">
      <w:pPr>
        <w:jc w:val="center"/>
        <w:rPr>
          <w:b/>
          <w:sz w:val="24"/>
          <w:szCs w:val="24"/>
        </w:rPr>
      </w:pPr>
      <w:r w:rsidRPr="00F92F31">
        <w:rPr>
          <w:b/>
          <w:sz w:val="24"/>
          <w:szCs w:val="24"/>
        </w:rPr>
        <w:t>S</w:t>
      </w:r>
      <w:r w:rsidR="00CB3B60" w:rsidRPr="00F92F31">
        <w:rPr>
          <w:b/>
          <w:sz w:val="24"/>
          <w:szCs w:val="24"/>
        </w:rPr>
        <w:t xml:space="preserve">tanovisko </w:t>
      </w:r>
      <w:r w:rsidR="0052721C" w:rsidRPr="00F92F31">
        <w:rPr>
          <w:b/>
          <w:sz w:val="24"/>
          <w:szCs w:val="24"/>
        </w:rPr>
        <w:t>k problematice útlumu uhlí v České republice</w:t>
      </w:r>
    </w:p>
    <w:p w14:paraId="00000002" w14:textId="77777777" w:rsidR="007E14EA" w:rsidRDefault="007E14EA"/>
    <w:p w14:paraId="00000003" w14:textId="7BDD664E" w:rsidR="007E14EA" w:rsidRDefault="0052721C" w:rsidP="00F92F31">
      <w:pPr>
        <w:jc w:val="both"/>
      </w:pPr>
      <w:r>
        <w:t xml:space="preserve">Česká republika má tzv. uhlíkový rozpočet, jenž je </w:t>
      </w:r>
      <w:r w:rsidR="00C5353B">
        <w:t>sou</w:t>
      </w:r>
      <w:r>
        <w:t>částí globálního uhlíkového rozpočtu, který vyjadřuje</w:t>
      </w:r>
      <w:r w:rsidR="00C5353B">
        <w:t>,</w:t>
      </w:r>
      <w:r>
        <w:t xml:space="preserve"> kolik emisí skleníkových plynů ještě může lidstvo vypustit, aby byl splněn cíl Pařížské klimatické dohody, tedy udržení růstu globální teploty na úrovni maximálně 2 </w:t>
      </w:r>
      <w:r w:rsidR="00C5353B">
        <w:t xml:space="preserve">°C </w:t>
      </w:r>
      <w:r>
        <w:t>stupňů oproti předprůmyslové době a pokud možno co nejblíže oteplení o 1,5 stupně</w:t>
      </w:r>
      <w:r>
        <w:rPr>
          <w:vertAlign w:val="superscript"/>
        </w:rPr>
        <w:footnoteReference w:id="1"/>
      </w:r>
      <w:r>
        <w:t xml:space="preserve">. </w:t>
      </w:r>
    </w:p>
    <w:p w14:paraId="00000004" w14:textId="77777777" w:rsidR="007E14EA" w:rsidRDefault="007E14EA" w:rsidP="00F92F31">
      <w:pPr>
        <w:jc w:val="both"/>
      </w:pPr>
    </w:p>
    <w:p w14:paraId="00000005" w14:textId="54238B68" w:rsidR="007E14EA" w:rsidRDefault="0052721C" w:rsidP="00F92F31">
      <w:pPr>
        <w:jc w:val="both"/>
      </w:pPr>
      <w:r>
        <w:t>Spalování uhlí je největším zdrojem</w:t>
      </w:r>
      <w:r>
        <w:rPr>
          <w:vertAlign w:val="superscript"/>
        </w:rPr>
        <w:footnoteReference w:id="2"/>
      </w:r>
      <w:r>
        <w:t xml:space="preserve"> </w:t>
      </w:r>
      <w:r w:rsidRPr="00A67356">
        <w:t>emisí skleníkových plynů v České republice</w:t>
      </w:r>
      <w:r w:rsidR="00C5353B">
        <w:t xml:space="preserve"> a řadí ji</w:t>
      </w:r>
      <w:r w:rsidR="00DE0D1B" w:rsidRPr="00A67356">
        <w:t xml:space="preserve"> tak mezi státy</w:t>
      </w:r>
      <w:r w:rsidRPr="00A67356">
        <w:t xml:space="preserve"> </w:t>
      </w:r>
      <w:r w:rsidR="00DE0D1B" w:rsidRPr="00A67356">
        <w:t>s</w:t>
      </w:r>
      <w:r w:rsidRPr="00A67356">
        <w:t xml:space="preserve"> nejvyšší</w:t>
      </w:r>
      <w:r w:rsidR="00DE0D1B" w:rsidRPr="00A67356">
        <w:t>mi</w:t>
      </w:r>
      <w:r w:rsidRPr="00A67356">
        <w:t xml:space="preserve"> emis</w:t>
      </w:r>
      <w:r w:rsidR="00DE0D1B" w:rsidRPr="00A67356">
        <w:t>emi</w:t>
      </w:r>
      <w:r w:rsidRPr="00A67356">
        <w:t xml:space="preserve"> v</w:t>
      </w:r>
      <w:r w:rsidR="00C5353B">
        <w:t> Evropě</w:t>
      </w:r>
      <w:r w:rsidRPr="00A67356">
        <w:rPr>
          <w:vertAlign w:val="superscript"/>
        </w:rPr>
        <w:footnoteReference w:id="3"/>
      </w:r>
      <w:r w:rsidR="00A67356" w:rsidRPr="004E67F6">
        <w:t xml:space="preserve"> (celkově i na jednoho obyvatele). </w:t>
      </w:r>
      <w:r w:rsidR="00A67356">
        <w:t>Další</w:t>
      </w:r>
      <w:r w:rsidR="00C5353B">
        <w:t>ch</w:t>
      </w:r>
      <w:r w:rsidR="00A67356">
        <w:t xml:space="preserve"> velmi špatn</w:t>
      </w:r>
      <w:r w:rsidR="00C5353B">
        <w:t>ých</w:t>
      </w:r>
      <w:r w:rsidR="00A67356">
        <w:t xml:space="preserve"> výsledk</w:t>
      </w:r>
      <w:r w:rsidR="00C5353B">
        <w:t>ů</w:t>
      </w:r>
      <w:r w:rsidR="00A67356">
        <w:t xml:space="preserve"> Česká republika dosahuje v indikátorech emisní intenzita (emise na jednotku HDP) a historické emise na obyvatele </w:t>
      </w:r>
      <w:r w:rsidR="00506D71">
        <w:t>(</w:t>
      </w:r>
      <w:r w:rsidR="008709FA">
        <w:t xml:space="preserve">kumulované emise od r. 1750). </w:t>
      </w:r>
      <w:r>
        <w:t>Rychlý útlum a ukončení spalování uhlí pro výrobu energie je proto také hlavním opatřením, aby se Č</w:t>
      </w:r>
      <w:r w:rsidR="00C5353B">
        <w:t xml:space="preserve">esko </w:t>
      </w:r>
      <w:r>
        <w:t>vešl</w:t>
      </w:r>
      <w:r w:rsidR="00C5353B">
        <w:t>o</w:t>
      </w:r>
      <w:r>
        <w:t xml:space="preserve"> do svého uhlíkového rozpočtu.</w:t>
      </w:r>
    </w:p>
    <w:p w14:paraId="00000006" w14:textId="77777777" w:rsidR="007E14EA" w:rsidRDefault="007E14EA" w:rsidP="00F92F31">
      <w:pPr>
        <w:jc w:val="both"/>
      </w:pPr>
    </w:p>
    <w:p w14:paraId="00000007" w14:textId="45CD81C2" w:rsidR="007E14EA" w:rsidRDefault="0052721C" w:rsidP="00F92F31">
      <w:pPr>
        <w:jc w:val="both"/>
      </w:pPr>
      <w:r>
        <w:t>Výpočty k uhlíkovému rozpočtu ukazují, že vyspělé země by měly opustit spalování uhlí do roku 2031, země rozvojové do roku 2037</w:t>
      </w:r>
      <w:r>
        <w:rPr>
          <w:sz w:val="24"/>
          <w:szCs w:val="24"/>
          <w:vertAlign w:val="superscript"/>
        </w:rPr>
        <w:footnoteReference w:id="4"/>
      </w:r>
      <w:r>
        <w:t>. Uhelná komise ovšem doporučila pro ČR rok 2038, přestože</w:t>
      </w:r>
      <w:r w:rsidR="00C5353B">
        <w:t xml:space="preserve"> se v</w:t>
      </w:r>
      <w:r>
        <w:t xml:space="preserve"> její</w:t>
      </w:r>
      <w:r w:rsidR="00C5353B">
        <w:t>ch</w:t>
      </w:r>
      <w:r>
        <w:t xml:space="preserve"> podklad</w:t>
      </w:r>
      <w:r w:rsidR="00C5353B">
        <w:t>ech</w:t>
      </w:r>
      <w:r>
        <w:t xml:space="preserve"> </w:t>
      </w:r>
      <w:r w:rsidR="00A9263D">
        <w:t>uvádí,</w:t>
      </w:r>
      <w:r>
        <w:t xml:space="preserve"> že z hlediska fungování energetiky je možné přestat </w:t>
      </w:r>
      <w:r w:rsidR="00A9263D">
        <w:t>s </w:t>
      </w:r>
      <w:r>
        <w:t>využív</w:t>
      </w:r>
      <w:r w:rsidR="00A9263D">
        <w:t xml:space="preserve">áním </w:t>
      </w:r>
      <w:r>
        <w:t>uhlí již v roce 2033.</w:t>
      </w:r>
      <w:r w:rsidR="00DE0D1B">
        <w:t xml:space="preserve"> Vláda se zatím na termínu neshodla.</w:t>
      </w:r>
    </w:p>
    <w:p w14:paraId="00000008" w14:textId="77777777" w:rsidR="007E14EA" w:rsidRDefault="007E14EA" w:rsidP="00F92F31">
      <w:pPr>
        <w:jc w:val="both"/>
      </w:pPr>
    </w:p>
    <w:p w14:paraId="00000009" w14:textId="77F7B72E" w:rsidR="007E14EA" w:rsidRDefault="0052721C" w:rsidP="00F92F31">
      <w:pPr>
        <w:jc w:val="both"/>
      </w:pPr>
      <w:r>
        <w:t xml:space="preserve">Vývoj ekonomiky </w:t>
      </w:r>
      <w:r w:rsidR="00B27811">
        <w:t xml:space="preserve">– i četné studie zabývající se hodnocením dopadů (tzv. externalit) – </w:t>
      </w:r>
      <w:r>
        <w:t>naznačuj</w:t>
      </w:r>
      <w:r w:rsidR="00B27811">
        <w:t xml:space="preserve">í, </w:t>
      </w:r>
      <w:r>
        <w:t xml:space="preserve">že spalování uhlí přestane být konkurenceschopné ve výrobě energie v Česku někdy kolem roku 2030. Studie společnosti Bloomberg New </w:t>
      </w:r>
      <w:proofErr w:type="spellStart"/>
      <w:r>
        <w:t>Energy</w:t>
      </w:r>
      <w:proofErr w:type="spellEnd"/>
      <w:r>
        <w:t xml:space="preserve"> Finance </w:t>
      </w:r>
      <w:r w:rsidR="00A9263D">
        <w:t>dokládá,</w:t>
      </w:r>
      <w:r>
        <w:t xml:space="preserve"> že zvýšení evropského cíle pro snížení emisí skleníkových plynů do roku 2030 (oproti roku 1990) ze 40 na 55 % zvedne cenu emisní povolenky do roku 2024 na 45 </w:t>
      </w:r>
      <w:r w:rsidR="00DE0D1B">
        <w:t>e</w:t>
      </w:r>
      <w:r>
        <w:t>ur za tunu CO</w:t>
      </w:r>
      <w:r w:rsidRPr="00B30048">
        <w:rPr>
          <w:vertAlign w:val="subscript"/>
        </w:rPr>
        <w:t>2</w:t>
      </w:r>
      <w:r>
        <w:t xml:space="preserve"> a do roku 2030 již na 80 </w:t>
      </w:r>
      <w:r w:rsidR="00DE0D1B">
        <w:t>e</w:t>
      </w:r>
      <w:r>
        <w:t>ur</w:t>
      </w:r>
      <w:r w:rsidR="00DE0D1B">
        <w:t>,</w:t>
      </w:r>
      <w:r>
        <w:t xml:space="preserve"> a ekonomicky optimální proto bude odstavit uhelné zdroje v České republice do roku 2030, většinu již do roku 2025</w:t>
      </w:r>
      <w:r>
        <w:rPr>
          <w:vertAlign w:val="superscript"/>
        </w:rPr>
        <w:footnoteReference w:id="5"/>
      </w:r>
      <w:r>
        <w:t xml:space="preserve">. </w:t>
      </w:r>
    </w:p>
    <w:p w14:paraId="0000000A" w14:textId="77777777" w:rsidR="007E14EA" w:rsidRDefault="007E14EA" w:rsidP="00F92F31">
      <w:pPr>
        <w:jc w:val="both"/>
      </w:pPr>
    </w:p>
    <w:p w14:paraId="0554076F" w14:textId="77777777" w:rsidR="00F92F31" w:rsidRDefault="00F92F31" w:rsidP="00F92F31">
      <w:pPr>
        <w:jc w:val="both"/>
      </w:pPr>
    </w:p>
    <w:p w14:paraId="3DF82847" w14:textId="77777777" w:rsidR="00F92F31" w:rsidRDefault="00F92F31" w:rsidP="00F92F31">
      <w:pPr>
        <w:jc w:val="both"/>
      </w:pPr>
    </w:p>
    <w:p w14:paraId="24B4C85D" w14:textId="77777777" w:rsidR="00F92F31" w:rsidRDefault="00F92F31" w:rsidP="00F92F31">
      <w:pPr>
        <w:jc w:val="both"/>
      </w:pPr>
    </w:p>
    <w:p w14:paraId="69B19975" w14:textId="77777777" w:rsidR="00F92F31" w:rsidRDefault="00F92F31" w:rsidP="00F92F31">
      <w:pPr>
        <w:jc w:val="both"/>
      </w:pPr>
    </w:p>
    <w:p w14:paraId="0000000B" w14:textId="46774C29" w:rsidR="007E14EA" w:rsidRDefault="0052721C" w:rsidP="00F92F31">
      <w:pPr>
        <w:jc w:val="both"/>
      </w:pPr>
      <w:r>
        <w:lastRenderedPageBreak/>
        <w:t xml:space="preserve">Na základě zhodnocení technické proveditelnosti, ekonomického výhledu </w:t>
      </w:r>
      <w:r w:rsidR="00F92F31">
        <w:br/>
      </w:r>
      <w:r>
        <w:t xml:space="preserve">a environmentálních potřeb </w:t>
      </w:r>
      <w:r w:rsidRPr="00F92F31">
        <w:rPr>
          <w:b/>
          <w:bCs/>
        </w:rPr>
        <w:t>doporučuje Komise pro životní prostředí Akademie věd ČR</w:t>
      </w:r>
      <w:r>
        <w:t>:</w:t>
      </w:r>
    </w:p>
    <w:p w14:paraId="04C8DCAF" w14:textId="77777777" w:rsidR="00A9263D" w:rsidRDefault="00A9263D" w:rsidP="00F92F31">
      <w:pPr>
        <w:jc w:val="both"/>
      </w:pPr>
    </w:p>
    <w:p w14:paraId="0000000C" w14:textId="080A53C6" w:rsidR="007E14EA" w:rsidRDefault="0052721C" w:rsidP="00F92F31">
      <w:pPr>
        <w:numPr>
          <w:ilvl w:val="0"/>
          <w:numId w:val="1"/>
        </w:numPr>
        <w:jc w:val="both"/>
      </w:pPr>
      <w:r>
        <w:t>stanovit termín ukončení spalování uhlí pro výrobu energie na rok 2033</w:t>
      </w:r>
      <w:r w:rsidR="00073D68">
        <w:t>;</w:t>
      </w:r>
    </w:p>
    <w:p w14:paraId="0000000D" w14:textId="753B5964" w:rsidR="007E14EA" w:rsidRDefault="0052721C" w:rsidP="00F92F31">
      <w:pPr>
        <w:numPr>
          <w:ilvl w:val="0"/>
          <w:numId w:val="1"/>
        </w:numPr>
        <w:jc w:val="both"/>
      </w:pPr>
      <w:r>
        <w:t xml:space="preserve">vypracovat harmonogram útlumu uhlí od současnosti do koncového roku tak, aby odstavování uhelných zdrojů probíhalo co nejrychleji </w:t>
      </w:r>
      <w:r w:rsidR="00A9263D">
        <w:t>– po</w:t>
      </w:r>
      <w:r>
        <w:t>dle možností redukce vývozu a následn</w:t>
      </w:r>
      <w:r w:rsidR="00CB3B60">
        <w:t>ého</w:t>
      </w:r>
      <w:r>
        <w:t xml:space="preserve"> nahrazování novými zdroji a úsporami energie</w:t>
      </w:r>
      <w:r w:rsidR="005D0C18">
        <w:t xml:space="preserve"> </w:t>
      </w:r>
      <w:r w:rsidR="00A9263D">
        <w:t xml:space="preserve">– </w:t>
      </w:r>
      <w:r w:rsidR="005D0C18">
        <w:t>a dále v harmonogramu zohlednit místa, kde se spalování uhlí projevuje imisně nejhůře</w:t>
      </w:r>
      <w:r w:rsidR="00073D68">
        <w:t>;</w:t>
      </w:r>
    </w:p>
    <w:p w14:paraId="0000000E" w14:textId="3164A60D" w:rsidR="007E14EA" w:rsidRDefault="0052721C" w:rsidP="00F92F31">
      <w:pPr>
        <w:numPr>
          <w:ilvl w:val="0"/>
          <w:numId w:val="1"/>
        </w:numPr>
        <w:jc w:val="both"/>
      </w:pPr>
      <w:r>
        <w:t xml:space="preserve">odstavovat uhelné zdroje </w:t>
      </w:r>
      <w:r w:rsidR="00A9263D">
        <w:t>po</w:t>
      </w:r>
      <w:r>
        <w:t>dle kritéria emisní intenzity (tedy nejdříve ty s největší produkcí emisí na jednotku dodané energie)</w:t>
      </w:r>
      <w:r w:rsidR="00073D68">
        <w:t>;</w:t>
      </w:r>
    </w:p>
    <w:p w14:paraId="631FF0F4" w14:textId="7D430DD2" w:rsidR="00B06715" w:rsidRDefault="00B06715" w:rsidP="00F92F31">
      <w:pPr>
        <w:numPr>
          <w:ilvl w:val="0"/>
          <w:numId w:val="1"/>
        </w:numPr>
        <w:jc w:val="both"/>
      </w:pPr>
      <w:r>
        <w:t>co nejrychleji podstatně zvýšit zdanění čistých výnosů z těžeb uhlí, protože jsou pro vlastníky těžebních práv nezaslouženým výnosem</w:t>
      </w:r>
      <w:r w:rsidR="00A9263D">
        <w:t>;</w:t>
      </w:r>
    </w:p>
    <w:p w14:paraId="0000000F" w14:textId="2BE4CFC3" w:rsidR="007E14EA" w:rsidRPr="00E2536B" w:rsidRDefault="0052721C" w:rsidP="00F92F31">
      <w:pPr>
        <w:numPr>
          <w:ilvl w:val="0"/>
          <w:numId w:val="1"/>
        </w:numPr>
        <w:jc w:val="both"/>
      </w:pPr>
      <w:r w:rsidRPr="00E2536B">
        <w:t>přijmout opatření pro podporu tvorby nových pracovních míst a rozvoje nových ekonomických aktivit v tzv. uhelných regionech i oblastech dotčených útlumem spalování uhlí mimo tyto regiony</w:t>
      </w:r>
      <w:r w:rsidR="00073D68" w:rsidRPr="00E2536B">
        <w:t>;</w:t>
      </w:r>
    </w:p>
    <w:p w14:paraId="72479F51" w14:textId="5D59122A" w:rsidR="00E2536B" w:rsidRPr="00E2536B" w:rsidRDefault="00E2536B" w:rsidP="00F92F31">
      <w:pPr>
        <w:numPr>
          <w:ilvl w:val="0"/>
          <w:numId w:val="1"/>
        </w:numPr>
        <w:jc w:val="both"/>
      </w:pPr>
      <w:r w:rsidRPr="00E2536B">
        <w:t xml:space="preserve">přijmout pozměňovací návrhy Podvýboru pro regiony v transformaci Senátu ČR </w:t>
      </w:r>
      <w:r w:rsidR="00F92F31">
        <w:br/>
      </w:r>
      <w:r w:rsidRPr="00E2536B">
        <w:t>k novele horního zákona, kterými se nově zařazují mezi příjemce z úhrad za nerost krajské samosprávy;</w:t>
      </w:r>
    </w:p>
    <w:p w14:paraId="24A51175" w14:textId="3D1ACE58" w:rsidR="005D0C18" w:rsidRDefault="005D0C18" w:rsidP="00F92F31">
      <w:pPr>
        <w:numPr>
          <w:ilvl w:val="0"/>
          <w:numId w:val="1"/>
        </w:numPr>
        <w:jc w:val="both"/>
      </w:pPr>
      <w:r>
        <w:t xml:space="preserve">v dostatečném předstihu řešit situaci </w:t>
      </w:r>
      <w:r w:rsidR="00A9263D">
        <w:t xml:space="preserve">obyvatel </w:t>
      </w:r>
      <w:r>
        <w:t>ekonomicky závisl</w:t>
      </w:r>
      <w:r w:rsidR="00A9263D">
        <w:t>ých</w:t>
      </w:r>
      <w:r>
        <w:t xml:space="preserve"> na těžbě </w:t>
      </w:r>
      <w:r w:rsidR="00F92F31">
        <w:br/>
      </w:r>
      <w:r>
        <w:t>a spalování uhlí.</w:t>
      </w:r>
    </w:p>
    <w:p w14:paraId="00000010" w14:textId="77777777" w:rsidR="007E14EA" w:rsidRDefault="007E14EA" w:rsidP="00F92F31">
      <w:pPr>
        <w:jc w:val="both"/>
      </w:pPr>
    </w:p>
    <w:p w14:paraId="10711C09" w14:textId="77777777" w:rsidR="004E67F6" w:rsidRDefault="004E67F6"/>
    <w:p w14:paraId="5E4D3A18" w14:textId="77777777" w:rsidR="004E67F6" w:rsidRDefault="004E67F6"/>
    <w:p w14:paraId="53BA86BB" w14:textId="77777777" w:rsidR="004E67F6" w:rsidRDefault="004E67F6"/>
    <w:p w14:paraId="5BD41551" w14:textId="6A368966" w:rsidR="004E67F6" w:rsidRDefault="004E67F6" w:rsidP="00CB3B60">
      <w:pPr>
        <w:jc w:val="right"/>
      </w:pPr>
      <w:r>
        <w:t>V Praze dne 11. 2. 2021</w:t>
      </w:r>
      <w:r>
        <w:tab/>
      </w:r>
      <w:r>
        <w:tab/>
      </w:r>
      <w:r>
        <w:tab/>
      </w:r>
      <w:r>
        <w:tab/>
      </w:r>
      <w:r>
        <w:tab/>
        <w:t>MUDr. Radim Šrám, DrSc.</w:t>
      </w:r>
    </w:p>
    <w:p w14:paraId="0070CBDF" w14:textId="0512F832" w:rsidR="004E67F6" w:rsidRDefault="004E67F6" w:rsidP="00CB3B60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63D">
        <w:t>p</w:t>
      </w:r>
      <w:r>
        <w:t>ředseda K</w:t>
      </w:r>
      <w:r w:rsidR="007D3B69">
        <w:t>Ž</w:t>
      </w:r>
      <w:r>
        <w:t>P AV ĆR</w:t>
      </w:r>
    </w:p>
    <w:p w14:paraId="4F9FEFD3" w14:textId="77777777" w:rsidR="007D3B69" w:rsidRDefault="007D3B69" w:rsidP="007D3B69">
      <w:pPr>
        <w:ind w:firstLine="708"/>
        <w:jc w:val="right"/>
      </w:pPr>
      <w:r>
        <w:t>tel.: 241 062</w:t>
      </w:r>
      <w:r>
        <w:t> </w:t>
      </w:r>
      <w:r>
        <w:t xml:space="preserve">596 </w:t>
      </w:r>
    </w:p>
    <w:p w14:paraId="4FE9EDDB" w14:textId="45C042A6" w:rsidR="007D3B69" w:rsidRDefault="007D3B69" w:rsidP="00CB3B60">
      <w:pPr>
        <w:ind w:firstLine="708"/>
        <w:jc w:val="right"/>
        <w:rPr>
          <w:b/>
          <w:bCs/>
          <w:color w:val="008000"/>
          <w:sz w:val="24"/>
          <w:szCs w:val="24"/>
        </w:rPr>
      </w:pPr>
      <w:r>
        <w:t>e-mail: radim.sram@iem.cas.cz</w:t>
      </w:r>
    </w:p>
    <w:p w14:paraId="3897F490" w14:textId="77777777" w:rsidR="007D3B69" w:rsidRDefault="007D3B69"/>
    <w:p w14:paraId="00000011" w14:textId="77777777" w:rsidR="007E14EA" w:rsidRDefault="007E14EA"/>
    <w:p w14:paraId="00000012" w14:textId="77777777" w:rsidR="007E14EA" w:rsidRDefault="007E14EA"/>
    <w:p w14:paraId="00000013" w14:textId="4D5498BE" w:rsidR="007E14EA" w:rsidRDefault="007E14EA"/>
    <w:p w14:paraId="41748E76" w14:textId="2F8A0BC0" w:rsidR="00F34D36" w:rsidRDefault="00F34D36"/>
    <w:p w14:paraId="5DF19825" w14:textId="1866A3A7" w:rsidR="00F34D36" w:rsidRDefault="00F34D36"/>
    <w:p w14:paraId="34A0F9D6" w14:textId="1E9D5B1D" w:rsidR="00F34D36" w:rsidRDefault="00F34D36"/>
    <w:p w14:paraId="15BD2F3F" w14:textId="15CA30D9" w:rsidR="00F34D36" w:rsidRDefault="00F34D36"/>
    <w:p w14:paraId="08C0A7B6" w14:textId="61EEB167" w:rsidR="00F34D36" w:rsidRDefault="00F34D36"/>
    <w:p w14:paraId="1D18B6C7" w14:textId="5828BB85" w:rsidR="00F34D36" w:rsidRDefault="00F34D36"/>
    <w:p w14:paraId="2DAEC53E" w14:textId="24D1B2E4" w:rsidR="00F34D36" w:rsidRDefault="00F34D36"/>
    <w:p w14:paraId="1BC8A6BA" w14:textId="7BB0F580" w:rsidR="00F34D36" w:rsidRDefault="00F34D36"/>
    <w:p w14:paraId="4EC717BA" w14:textId="46E60786" w:rsidR="00F34D36" w:rsidRDefault="00F34D36"/>
    <w:p w14:paraId="01BB6811" w14:textId="77777777" w:rsidR="00F34D36" w:rsidRDefault="00F34D36"/>
    <w:p w14:paraId="15A89AB7" w14:textId="0D93F320" w:rsidR="00A9263D" w:rsidRPr="00A613A0" w:rsidRDefault="00A9263D" w:rsidP="00A9263D">
      <w:pPr>
        <w:spacing w:before="120" w:line="240" w:lineRule="auto"/>
        <w:jc w:val="both"/>
        <w:rPr>
          <w:sz w:val="20"/>
          <w:szCs w:val="20"/>
        </w:rPr>
      </w:pPr>
      <w:r w:rsidRPr="00A613A0">
        <w:rPr>
          <w:sz w:val="20"/>
          <w:szCs w:val="20"/>
        </w:rPr>
        <w:t xml:space="preserve">Komise pro životní prostředí je poradním orgánem Akademické rady AV ČR, jejímž účelem je zpracovávat profesionální stanoviska k problematice životního prostředí v ČR, podporovat výzkum </w:t>
      </w:r>
      <w:r w:rsidR="00F34D36">
        <w:rPr>
          <w:sz w:val="20"/>
          <w:szCs w:val="20"/>
        </w:rPr>
        <w:br/>
      </w:r>
      <w:r w:rsidRPr="00A613A0">
        <w:rPr>
          <w:sz w:val="20"/>
          <w:szCs w:val="20"/>
        </w:rPr>
        <w:t>a organizovat semináře v této oblasti. V současné době má 22 členů, kteří jsou respektovanými odborníky nejen z ústavů AV ČR, ale i vysokých škol a dalších výzkumných institucí.</w:t>
      </w:r>
    </w:p>
    <w:p w14:paraId="00000014" w14:textId="77777777" w:rsidR="007E14EA" w:rsidRDefault="007E14EA"/>
    <w:sectPr w:rsidR="007E14EA">
      <w:head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5C1A" w14:textId="77777777" w:rsidR="00241087" w:rsidRDefault="00241087">
      <w:pPr>
        <w:spacing w:line="240" w:lineRule="auto"/>
      </w:pPr>
      <w:r>
        <w:separator/>
      </w:r>
    </w:p>
  </w:endnote>
  <w:endnote w:type="continuationSeparator" w:id="0">
    <w:p w14:paraId="349F70C5" w14:textId="77777777" w:rsidR="00241087" w:rsidRDefault="00241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E2D31" w14:textId="77777777" w:rsidR="00241087" w:rsidRDefault="00241087">
      <w:pPr>
        <w:spacing w:line="240" w:lineRule="auto"/>
      </w:pPr>
      <w:r>
        <w:separator/>
      </w:r>
    </w:p>
  </w:footnote>
  <w:footnote w:type="continuationSeparator" w:id="0">
    <w:p w14:paraId="0D133EA9" w14:textId="77777777" w:rsidR="00241087" w:rsidRDefault="00241087">
      <w:pPr>
        <w:spacing w:line="240" w:lineRule="auto"/>
      </w:pPr>
      <w:r>
        <w:continuationSeparator/>
      </w:r>
    </w:p>
  </w:footnote>
  <w:footnote w:id="1">
    <w:p w14:paraId="00000017" w14:textId="77777777" w:rsidR="007E14EA" w:rsidRDefault="0052721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color w:val="1155CC"/>
            <w:sz w:val="20"/>
            <w:szCs w:val="20"/>
            <w:u w:val="single"/>
          </w:rPr>
          <w:t>https://unfccc.int/process-and-meetings/the-paris-agreement/the-paris-agreement</w:t>
        </w:r>
      </w:hyperlink>
      <w:r>
        <w:rPr>
          <w:sz w:val="20"/>
          <w:szCs w:val="20"/>
        </w:rPr>
        <w:t xml:space="preserve"> </w:t>
      </w:r>
    </w:p>
  </w:footnote>
  <w:footnote w:id="2">
    <w:p w14:paraId="00000018" w14:textId="77777777" w:rsidR="007E14EA" w:rsidRDefault="0052721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2">
        <w:r>
          <w:rPr>
            <w:color w:val="1155CC"/>
            <w:sz w:val="20"/>
            <w:szCs w:val="20"/>
            <w:u w:val="single"/>
          </w:rPr>
          <w:t>https://faktaoklimatu.cz/infografiky/emise-cr-detail</w:t>
        </w:r>
      </w:hyperlink>
      <w:r>
        <w:rPr>
          <w:sz w:val="20"/>
          <w:szCs w:val="20"/>
        </w:rPr>
        <w:t xml:space="preserve"> </w:t>
      </w:r>
    </w:p>
  </w:footnote>
  <w:footnote w:id="3">
    <w:p w14:paraId="00000019" w14:textId="77777777" w:rsidR="007E14EA" w:rsidRDefault="0052721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3">
        <w:r>
          <w:rPr>
            <w:color w:val="1155CC"/>
            <w:sz w:val="20"/>
            <w:szCs w:val="20"/>
            <w:u w:val="single"/>
          </w:rPr>
          <w:t>https://faktaoklimatu.cz/infografiky/emise-eu-poradi</w:t>
        </w:r>
      </w:hyperlink>
      <w:r>
        <w:rPr>
          <w:sz w:val="20"/>
          <w:szCs w:val="20"/>
        </w:rPr>
        <w:t xml:space="preserve"> </w:t>
      </w:r>
    </w:p>
  </w:footnote>
  <w:footnote w:id="4">
    <w:p w14:paraId="00000016" w14:textId="77777777" w:rsidR="007E14EA" w:rsidRDefault="0052721C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4">
        <w:r>
          <w:rPr>
            <w:color w:val="1155CC"/>
            <w:sz w:val="18"/>
            <w:szCs w:val="18"/>
            <w:u w:val="single"/>
          </w:rPr>
          <w:t>https://climateanalytics.org/briefings/coal-phase-out/</w:t>
        </w:r>
      </w:hyperlink>
      <w:r>
        <w:rPr>
          <w:sz w:val="18"/>
          <w:szCs w:val="18"/>
        </w:rPr>
        <w:t xml:space="preserve"> </w:t>
      </w:r>
    </w:p>
  </w:footnote>
  <w:footnote w:id="5">
    <w:p w14:paraId="0000001A" w14:textId="77777777" w:rsidR="007E14EA" w:rsidRDefault="0052721C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hyperlink r:id="rId5">
        <w:r>
          <w:rPr>
            <w:color w:val="1155CC"/>
            <w:sz w:val="20"/>
            <w:szCs w:val="20"/>
            <w:u w:val="single"/>
          </w:rPr>
          <w:t>https://assets.bbhub.io/professional/sites/24/BloombergNEF-Decarbonization-of-Eastern-Europe%E2%80%99s-Energy-Mix-Key-to-Higher-EU-Climate-Goals-Nov-2020.pdf</w:t>
        </w:r>
      </w:hyperlink>
      <w:r>
        <w:rPr>
          <w:sz w:val="20"/>
          <w:szCs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5" w14:textId="77777777" w:rsidR="007E14EA" w:rsidRDefault="007E14E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55A7E"/>
    <w:multiLevelType w:val="multilevel"/>
    <w:tmpl w:val="B1EAD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4EA"/>
    <w:rsid w:val="00073D68"/>
    <w:rsid w:val="00241087"/>
    <w:rsid w:val="004E67F6"/>
    <w:rsid w:val="00506D71"/>
    <w:rsid w:val="0052721C"/>
    <w:rsid w:val="005D0C18"/>
    <w:rsid w:val="006F605D"/>
    <w:rsid w:val="00711772"/>
    <w:rsid w:val="007D3B69"/>
    <w:rsid w:val="007E14EA"/>
    <w:rsid w:val="008709FA"/>
    <w:rsid w:val="008714C1"/>
    <w:rsid w:val="0090416A"/>
    <w:rsid w:val="00A56F4C"/>
    <w:rsid w:val="00A67356"/>
    <w:rsid w:val="00A9263D"/>
    <w:rsid w:val="00B06715"/>
    <w:rsid w:val="00B27811"/>
    <w:rsid w:val="00B30048"/>
    <w:rsid w:val="00B71CE5"/>
    <w:rsid w:val="00C5353B"/>
    <w:rsid w:val="00CB3B60"/>
    <w:rsid w:val="00DD56C7"/>
    <w:rsid w:val="00DE0D1B"/>
    <w:rsid w:val="00E2536B"/>
    <w:rsid w:val="00F34D36"/>
    <w:rsid w:val="00F721B7"/>
    <w:rsid w:val="00F9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3CC6"/>
  <w15:docId w15:val="{5DDDFE91-B50D-4D31-ABF7-784CEB4C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60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aktaoklimatu.cz/infografiky/emise-eu-poradi" TargetMode="External"/><Relationship Id="rId2" Type="http://schemas.openxmlformats.org/officeDocument/2006/relationships/hyperlink" Target="https://faktaoklimatu.cz/infografiky/emise-cr-detail" TargetMode="External"/><Relationship Id="rId1" Type="http://schemas.openxmlformats.org/officeDocument/2006/relationships/hyperlink" Target="https://unfccc.int/process-and-meetings/the-paris-agreement/the-paris-agreement" TargetMode="External"/><Relationship Id="rId5" Type="http://schemas.openxmlformats.org/officeDocument/2006/relationships/hyperlink" Target="https://assets.bbhub.io/professional/sites/24/BloombergNEF-Decarbonization-of-Eastern-Europe%E2%80%99s-Energy-Mix-Key-to-Higher-EU-Climate-Goals-Nov-2020.pdf" TargetMode="External"/><Relationship Id="rId4" Type="http://schemas.openxmlformats.org/officeDocument/2006/relationships/hyperlink" Target="https://climateanalytics.org/briefings/coal-phase-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Sram</dc:creator>
  <cp:lastModifiedBy>Vítková Irena</cp:lastModifiedBy>
  <cp:revision>6</cp:revision>
  <dcterms:created xsi:type="dcterms:W3CDTF">2021-02-11T06:49:00Z</dcterms:created>
  <dcterms:modified xsi:type="dcterms:W3CDTF">2021-02-11T14:23:00Z</dcterms:modified>
</cp:coreProperties>
</file>