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2725" w14:textId="258B3292"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8544840"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0C8B9443"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7D2D4A">
      <w:pPr>
        <w:pStyle w:val="Standard"/>
        <w:widowControl w:val="0"/>
        <w:suppressAutoHyphens w:val="0"/>
        <w:spacing w:before="120" w:after="120"/>
        <w:jc w:val="center"/>
        <w:rPr>
          <w:rFonts w:cs="Arial"/>
          <w:iCs/>
          <w:szCs w:val="20"/>
          <w:lang w:val="cs-CZ"/>
        </w:rPr>
      </w:pPr>
    </w:p>
    <w:p w14:paraId="2A32F268" w14:textId="5D1351DC" w:rsidR="00CF6B63" w:rsidRPr="00CF6B63" w:rsidRDefault="00CF6B63" w:rsidP="00CF6B63">
      <w:pPr>
        <w:pStyle w:val="Standard"/>
        <w:widowControl w:val="0"/>
        <w:spacing w:before="120" w:after="120" w:line="276" w:lineRule="auto"/>
        <w:jc w:val="center"/>
        <w:rPr>
          <w:rFonts w:cs="Arial"/>
          <w:b/>
          <w:bCs/>
          <w:iCs/>
          <w:color w:val="002060"/>
          <w:kern w:val="56"/>
          <w:sz w:val="36"/>
          <w:szCs w:val="36"/>
          <w:lang w:val="cs-CZ"/>
        </w:rPr>
      </w:pPr>
      <w:bookmarkStart w:id="0" w:name="_Hlk152148949"/>
      <w:r w:rsidRPr="00CF6B63">
        <w:rPr>
          <w:rFonts w:cs="Arial"/>
          <w:b/>
          <w:bCs/>
          <w:iCs/>
          <w:color w:val="002060"/>
          <w:kern w:val="56"/>
          <w:sz w:val="36"/>
          <w:szCs w:val="36"/>
          <w:lang w:val="cs-CZ"/>
        </w:rPr>
        <w:t>Nová PET/MRI kontrastní látka vyvinutá v ÚOCHB slibuje včasné odhalení skrytých nemocí</w:t>
      </w:r>
    </w:p>
    <w:p w14:paraId="706B2B72" w14:textId="77777777" w:rsidR="00514ADE" w:rsidRDefault="007B3C52" w:rsidP="00514ADE">
      <w:pPr>
        <w:pStyle w:val="Standard"/>
        <w:widowControl w:val="0"/>
        <w:spacing w:before="120" w:after="120" w:line="276" w:lineRule="auto"/>
        <w:jc w:val="center"/>
        <w:rPr>
          <w:rFonts w:cs="Arial"/>
          <w:b/>
          <w:bCs/>
          <w:iCs/>
          <w:color w:val="002060"/>
          <w:kern w:val="56"/>
          <w:sz w:val="36"/>
          <w:szCs w:val="36"/>
          <w:lang w:val="cs-CZ"/>
        </w:rPr>
      </w:pPr>
      <w:r>
        <w:rPr>
          <w:rFonts w:cs="Arial"/>
          <w:b/>
          <w:bCs/>
          <w:iCs/>
          <w:color w:val="002060"/>
          <w:kern w:val="56"/>
          <w:sz w:val="36"/>
          <w:szCs w:val="36"/>
          <w:lang w:val="cs-CZ"/>
        </w:rPr>
        <w:t xml:space="preserve"> </w:t>
      </w:r>
      <w:bookmarkEnd w:id="0"/>
    </w:p>
    <w:p w14:paraId="2382FC0C" w14:textId="0E5F1311" w:rsidR="0093221B" w:rsidRPr="00456677" w:rsidRDefault="00CF6B63" w:rsidP="00514ADE">
      <w:pPr>
        <w:pStyle w:val="Standard"/>
        <w:widowControl w:val="0"/>
        <w:spacing w:before="120" w:after="120" w:line="276" w:lineRule="auto"/>
        <w:rPr>
          <w:rFonts w:cs="Arial"/>
          <w:b/>
          <w:bCs/>
          <w:iCs/>
          <w:color w:val="002060"/>
          <w:kern w:val="56"/>
          <w:sz w:val="36"/>
          <w:szCs w:val="36"/>
          <w:lang w:val="cs-CZ"/>
        </w:rPr>
      </w:pPr>
      <w:r>
        <w:rPr>
          <w:rFonts w:cs="Arial"/>
          <w:bCs/>
          <w:iCs/>
          <w:szCs w:val="20"/>
          <w:lang w:val="cs-CZ"/>
        </w:rPr>
        <w:t>5. 8. 2024</w:t>
      </w:r>
    </w:p>
    <w:p w14:paraId="21498C2E" w14:textId="6A081C26" w:rsidR="008F550C" w:rsidRPr="00514ADE" w:rsidRDefault="00514ADE" w:rsidP="00514ADE">
      <w:pPr>
        <w:pStyle w:val="Standard"/>
        <w:widowControl w:val="0"/>
        <w:spacing w:before="120" w:after="120" w:line="276" w:lineRule="auto"/>
        <w:rPr>
          <w:rFonts w:cs="Arial"/>
          <w:b/>
          <w:bCs/>
          <w:iCs/>
          <w:szCs w:val="20"/>
          <w:lang w:val="cs-CZ"/>
        </w:rPr>
      </w:pPr>
      <w:bookmarkStart w:id="1" w:name="_Hlk152149017"/>
      <w:r w:rsidRPr="00514ADE">
        <w:rPr>
          <w:rFonts w:cs="Arial"/>
          <w:b/>
          <w:bCs/>
          <w:iCs/>
          <w:szCs w:val="20"/>
          <w:lang w:val="cs-CZ"/>
        </w:rPr>
        <w:t xml:space="preserve">Vědci z ÚOCHB AV ČR ve spolupráci s Univerzitou v </w:t>
      </w:r>
      <w:proofErr w:type="spellStart"/>
      <w:r w:rsidRPr="00514ADE">
        <w:rPr>
          <w:rFonts w:cs="Arial"/>
          <w:b/>
          <w:bCs/>
          <w:iCs/>
          <w:szCs w:val="20"/>
          <w:lang w:val="cs-CZ"/>
        </w:rPr>
        <w:t>Tübingenu</w:t>
      </w:r>
      <w:proofErr w:type="spellEnd"/>
      <w:r w:rsidRPr="00514ADE">
        <w:rPr>
          <w:rFonts w:cs="Arial"/>
          <w:b/>
          <w:bCs/>
          <w:iCs/>
          <w:szCs w:val="20"/>
          <w:lang w:val="cs-CZ"/>
        </w:rPr>
        <w:t xml:space="preserve"> v Německu a s</w:t>
      </w:r>
      <w:r w:rsidR="008F550C">
        <w:rPr>
          <w:rFonts w:cs="Arial"/>
          <w:b/>
          <w:bCs/>
          <w:iCs/>
          <w:szCs w:val="20"/>
          <w:lang w:val="cs-CZ"/>
        </w:rPr>
        <w:t> </w:t>
      </w:r>
      <w:r w:rsidRPr="00514ADE">
        <w:rPr>
          <w:rFonts w:cs="Arial"/>
          <w:b/>
          <w:bCs/>
          <w:iCs/>
          <w:szCs w:val="20"/>
          <w:lang w:val="cs-CZ"/>
        </w:rPr>
        <w:t>Přírodovědeckou fakultou Univerzity Karlovy vyvinuli nový typ kontrastní látky, kterou lze použít zároveň v magnetické rezonanci (MRI) i v pozitronové emisní tomografii (PET). Tento průlomový objev slibuje významné vylepšení diagnostiky a následné léčby, hlavně u chorob ledvin a</w:t>
      </w:r>
      <w:r w:rsidR="008526DA">
        <w:rPr>
          <w:rFonts w:cs="Arial"/>
          <w:b/>
          <w:bCs/>
          <w:iCs/>
          <w:szCs w:val="20"/>
          <w:lang w:val="cs-CZ"/>
        </w:rPr>
        <w:t xml:space="preserve"> u</w:t>
      </w:r>
      <w:r w:rsidRPr="00514ADE">
        <w:rPr>
          <w:rFonts w:cs="Arial"/>
          <w:b/>
          <w:bCs/>
          <w:iCs/>
          <w:szCs w:val="20"/>
          <w:lang w:val="cs-CZ"/>
        </w:rPr>
        <w:t xml:space="preserve"> nádorů. Řeší totiž zásadní problém, který spojení zmíněných zobrazovacích technik zatím bránil. Výzkum zveřejnil renomovaný vědecký časopis </w:t>
      </w:r>
      <w:proofErr w:type="spellStart"/>
      <w:r w:rsidRPr="00514ADE">
        <w:rPr>
          <w:rFonts w:cs="Arial"/>
          <w:b/>
          <w:bCs/>
          <w:i/>
          <w:iCs/>
          <w:szCs w:val="20"/>
          <w:lang w:val="cs-CZ"/>
        </w:rPr>
        <w:t>Angewandte</w:t>
      </w:r>
      <w:proofErr w:type="spellEnd"/>
      <w:r w:rsidRPr="00514ADE">
        <w:rPr>
          <w:rFonts w:cs="Arial"/>
          <w:b/>
          <w:bCs/>
          <w:i/>
          <w:iCs/>
          <w:szCs w:val="20"/>
          <w:lang w:val="cs-CZ"/>
        </w:rPr>
        <w:t xml:space="preserve"> Chemie</w:t>
      </w:r>
      <w:r w:rsidRPr="00514ADE">
        <w:rPr>
          <w:rFonts w:cs="Arial"/>
          <w:b/>
          <w:bCs/>
          <w:iCs/>
          <w:szCs w:val="20"/>
          <w:lang w:val="cs-CZ"/>
        </w:rPr>
        <w:t>.</w:t>
      </w:r>
    </w:p>
    <w:p w14:paraId="58ACC16C" w14:textId="6B27B52A" w:rsidR="00514ADE" w:rsidRPr="00514ADE" w:rsidRDefault="00514ADE" w:rsidP="00514ADE">
      <w:pPr>
        <w:pStyle w:val="Standard"/>
        <w:widowControl w:val="0"/>
        <w:spacing w:before="120" w:after="120" w:line="276" w:lineRule="auto"/>
        <w:rPr>
          <w:rFonts w:cs="Arial"/>
          <w:iCs/>
          <w:szCs w:val="20"/>
          <w:lang w:val="cs-CZ"/>
        </w:rPr>
      </w:pPr>
      <w:r w:rsidRPr="00514ADE">
        <w:rPr>
          <w:rFonts w:cs="Arial"/>
          <w:iCs/>
          <w:szCs w:val="20"/>
          <w:lang w:val="cs-CZ"/>
        </w:rPr>
        <w:t xml:space="preserve">Lékařství stále hledá nové způsoby, jak zdokonalit dostupné zobrazovací metody. Kombinace MRI a PET je jedním z takových příkladů. Pro přesné vyšetření vnitřních orgánů nebo mozku je vhodné využít MRI za použití kontrastní látky. Při podezření na zhoubné choroby, jako jsou nádory, se hodí naopak PET diagnostika. Dokáže totiž velmi dobře zobrazit patologicky změněné buňky. Spojení obou technik bylo výzvou, protože silné magnetické pole v MRI komplikuje fungování elektroniky využívané v PET. Tento problém se nicméně už podařilo vyřešit a hybridní PET/MRI, současná nejpokročilejší zobrazovací zařízení, už začínají být dostupná. Posledním úkolem k řešení tak zůstává vývoj duální kontrastní látky, která by fungovala zároveň v MRI i v PET. Řešením může být právě společný objev českých a německých vědců. </w:t>
      </w:r>
    </w:p>
    <w:p w14:paraId="76852F96" w14:textId="77777777" w:rsidR="00514ADE" w:rsidRPr="00514ADE" w:rsidRDefault="00514ADE" w:rsidP="00514ADE">
      <w:pPr>
        <w:pStyle w:val="Standard"/>
        <w:widowControl w:val="0"/>
        <w:spacing w:before="120" w:after="120" w:line="276" w:lineRule="auto"/>
        <w:rPr>
          <w:rFonts w:cs="Arial"/>
          <w:iCs/>
          <w:szCs w:val="20"/>
          <w:lang w:val="cs-CZ"/>
        </w:rPr>
      </w:pPr>
      <w:r w:rsidRPr="00514ADE">
        <w:rPr>
          <w:rFonts w:cs="Arial"/>
          <w:iCs/>
          <w:szCs w:val="20"/>
          <w:lang w:val="cs-CZ"/>
        </w:rPr>
        <w:t>Popisovaný přístup je jednoduchý a efektivní. Dr. Miloslav Polášek, vedoucí skupiny Koordinační chemie v Ústavu organické chemie a biochemie AV ČR, kde práce začala, vysvětluje: „</w:t>
      </w:r>
      <w:r w:rsidRPr="00514ADE">
        <w:rPr>
          <w:rFonts w:cs="Arial"/>
          <w:i/>
          <w:iCs/>
          <w:szCs w:val="20"/>
          <w:lang w:val="cs-CZ"/>
        </w:rPr>
        <w:t xml:space="preserve">Předchozí pokusy o vytvoření PET/MRI kontrastních látek se soustředily na výrobu složitých molekul, náročných na přípravu a s úzkým rozsahem použití. My jsme na to šli opačně. Navrhli jsme molekulu, jejíž aplikace je jednoduchá a široká a radiologové ji intuitivně pochopí. Má všechny příznivé vlastnosti současných MRI kontrastních látek a zároveň poskytuje PET signál. To přidává zcela nový typ informace, zvyšuje přesnost a rozšiřuje možnosti diagnostiky.“ </w:t>
      </w:r>
    </w:p>
    <w:p w14:paraId="6E7F8826" w14:textId="77777777" w:rsidR="00514ADE" w:rsidRPr="00514ADE" w:rsidRDefault="00514ADE" w:rsidP="00514ADE">
      <w:pPr>
        <w:pStyle w:val="Standard"/>
        <w:widowControl w:val="0"/>
        <w:spacing w:before="120" w:after="120" w:line="276" w:lineRule="auto"/>
        <w:rPr>
          <w:rFonts w:cs="Arial"/>
          <w:iCs/>
          <w:szCs w:val="20"/>
          <w:lang w:val="cs-CZ"/>
        </w:rPr>
      </w:pPr>
      <w:r w:rsidRPr="00514ADE">
        <w:rPr>
          <w:rFonts w:cs="Arial"/>
          <w:iCs/>
          <w:szCs w:val="20"/>
          <w:lang w:val="cs-CZ"/>
        </w:rPr>
        <w:t>Působivé je, že vědci dokážou za pouhých třicet minut vyrobit množství látky, které stačí k vyšetření pěti pacientů. Kontrastní látka navíc zůstává v těle stabilní, což je velmi slibné pro budoucí klinické použití</w:t>
      </w:r>
      <w:r w:rsidRPr="00514ADE">
        <w:rPr>
          <w:rFonts w:cs="Arial"/>
          <w:i/>
          <w:iCs/>
          <w:szCs w:val="20"/>
          <w:lang w:val="cs-CZ"/>
        </w:rPr>
        <w:t xml:space="preserve">. „Naše řešení je chytře navržená molekula, která kombinuje gadolinium a radioaktivní fluor-18, což jsou látky běžně používané v lékařských skenech, a tedy snadno dostupné. Abychom dokázali spojit obě části, museli jsme překonat několik problémů, například velký rozdíl v množství látky potřebného pro MRI a PET zobrazování. Přišli jsme na inovativní řešení, jak v MRI kontrastní látce jednoduše nahradit neradioaktivní atomy fluoru za radioaktivní fluor-18. Reakce je elegantní, rychlá a efektivní,“ </w:t>
      </w:r>
      <w:r w:rsidRPr="00514ADE">
        <w:rPr>
          <w:rFonts w:cs="Arial"/>
          <w:iCs/>
          <w:szCs w:val="20"/>
          <w:lang w:val="cs-CZ"/>
        </w:rPr>
        <w:t xml:space="preserve">říká Dr. Jan </w:t>
      </w:r>
      <w:proofErr w:type="spellStart"/>
      <w:r w:rsidRPr="00514ADE">
        <w:rPr>
          <w:rFonts w:cs="Arial"/>
          <w:iCs/>
          <w:szCs w:val="20"/>
          <w:lang w:val="cs-CZ"/>
        </w:rPr>
        <w:t>Kretschmer</w:t>
      </w:r>
      <w:proofErr w:type="spellEnd"/>
      <w:r w:rsidRPr="00514ADE">
        <w:rPr>
          <w:rFonts w:cs="Arial"/>
          <w:iCs/>
          <w:szCs w:val="20"/>
          <w:lang w:val="cs-CZ"/>
        </w:rPr>
        <w:t xml:space="preserve">, bývalý doktorand Dr. Poláška a první spoluautor studie, který teď pracuje ve skupině prof. André </w:t>
      </w:r>
      <w:proofErr w:type="spellStart"/>
      <w:r w:rsidRPr="00514ADE">
        <w:rPr>
          <w:rFonts w:cs="Arial"/>
          <w:iCs/>
          <w:szCs w:val="20"/>
          <w:lang w:val="cs-CZ"/>
        </w:rPr>
        <w:t>Ferreiry</w:t>
      </w:r>
      <w:proofErr w:type="spellEnd"/>
      <w:r w:rsidRPr="00514ADE">
        <w:rPr>
          <w:rFonts w:cs="Arial"/>
          <w:iCs/>
          <w:szCs w:val="20"/>
          <w:lang w:val="cs-CZ"/>
        </w:rPr>
        <w:t xml:space="preserve"> </w:t>
      </w:r>
      <w:proofErr w:type="spellStart"/>
      <w:r w:rsidRPr="00514ADE">
        <w:rPr>
          <w:rFonts w:cs="Arial"/>
          <w:iCs/>
          <w:szCs w:val="20"/>
          <w:lang w:val="cs-CZ"/>
        </w:rPr>
        <w:t>Martinse</w:t>
      </w:r>
      <w:proofErr w:type="spellEnd"/>
      <w:r w:rsidRPr="00514ADE">
        <w:rPr>
          <w:rFonts w:cs="Arial"/>
          <w:iCs/>
          <w:szCs w:val="20"/>
          <w:lang w:val="cs-CZ"/>
        </w:rPr>
        <w:t xml:space="preserve"> ve Werner Siemens </w:t>
      </w:r>
      <w:proofErr w:type="spellStart"/>
      <w:r w:rsidRPr="00514ADE">
        <w:rPr>
          <w:rFonts w:cs="Arial"/>
          <w:iCs/>
          <w:szCs w:val="20"/>
          <w:lang w:val="cs-CZ"/>
        </w:rPr>
        <w:t>Imaging</w:t>
      </w:r>
      <w:proofErr w:type="spellEnd"/>
      <w:r w:rsidRPr="00514ADE">
        <w:rPr>
          <w:rFonts w:cs="Arial"/>
          <w:iCs/>
          <w:szCs w:val="20"/>
          <w:lang w:val="cs-CZ"/>
        </w:rPr>
        <w:t xml:space="preserve"> Center na Univerzitě v </w:t>
      </w:r>
      <w:proofErr w:type="spellStart"/>
      <w:r w:rsidRPr="00514ADE">
        <w:rPr>
          <w:rFonts w:cs="Arial"/>
          <w:iCs/>
          <w:szCs w:val="20"/>
          <w:lang w:val="cs-CZ"/>
        </w:rPr>
        <w:t>Tübingenu</w:t>
      </w:r>
      <w:proofErr w:type="spellEnd"/>
      <w:r w:rsidRPr="00514ADE">
        <w:rPr>
          <w:rFonts w:cs="Arial"/>
          <w:iCs/>
          <w:szCs w:val="20"/>
          <w:lang w:val="cs-CZ"/>
        </w:rPr>
        <w:t>.</w:t>
      </w:r>
    </w:p>
    <w:p w14:paraId="2D9700FB" w14:textId="20E82E29" w:rsidR="00514ADE" w:rsidRPr="00514ADE" w:rsidRDefault="00514ADE" w:rsidP="00514ADE">
      <w:pPr>
        <w:pStyle w:val="Standard"/>
        <w:widowControl w:val="0"/>
        <w:spacing w:before="120" w:after="120" w:line="276" w:lineRule="auto"/>
        <w:rPr>
          <w:rFonts w:cs="Arial"/>
          <w:iCs/>
          <w:szCs w:val="20"/>
          <w:lang w:val="cs-CZ"/>
        </w:rPr>
      </w:pPr>
      <w:r w:rsidRPr="00514ADE">
        <w:rPr>
          <w:rFonts w:cs="Arial"/>
          <w:iCs/>
          <w:szCs w:val="20"/>
          <w:lang w:val="cs-CZ"/>
        </w:rPr>
        <w:lastRenderedPageBreak/>
        <w:t>Vědci zaznamenali během testování na zvířecím modelu potenciálně průlomové zjištění.</w:t>
      </w:r>
      <w:r>
        <w:rPr>
          <w:rFonts w:cs="Arial"/>
          <w:iCs/>
          <w:szCs w:val="20"/>
          <w:lang w:val="cs-CZ"/>
        </w:rPr>
        <w:t xml:space="preserve"> </w:t>
      </w:r>
      <w:r w:rsidRPr="00514ADE">
        <w:rPr>
          <w:rFonts w:cs="Arial"/>
          <w:iCs/>
          <w:szCs w:val="20"/>
          <w:lang w:val="cs-CZ"/>
        </w:rPr>
        <w:t xml:space="preserve">S překvapením zjistili, že jedna zdánlivě zdravá myš má problémy s ledvinami. Odhalit je bylo možné právě díky kombinovanému sledování prostřednictvím PET a MRI. Tato neinvazivní forma zobrazování umožňuje sledovat v reálném čase biochemické procesy v orgánech pomocí hromadění a následného vylučování kontrastní látky. Prof. </w:t>
      </w:r>
      <w:proofErr w:type="spellStart"/>
      <w:r w:rsidRPr="00514ADE">
        <w:rPr>
          <w:rFonts w:cs="Arial"/>
          <w:iCs/>
          <w:szCs w:val="20"/>
          <w:lang w:val="cs-CZ"/>
        </w:rPr>
        <w:t>Martins</w:t>
      </w:r>
      <w:proofErr w:type="spellEnd"/>
      <w:r w:rsidRPr="00514ADE">
        <w:rPr>
          <w:rFonts w:cs="Arial"/>
          <w:iCs/>
          <w:szCs w:val="20"/>
          <w:lang w:val="cs-CZ"/>
        </w:rPr>
        <w:t xml:space="preserve"> dodává: „</w:t>
      </w:r>
      <w:r w:rsidRPr="00514ADE">
        <w:rPr>
          <w:rFonts w:cs="Arial"/>
          <w:i/>
          <w:iCs/>
          <w:szCs w:val="20"/>
          <w:lang w:val="cs-CZ"/>
        </w:rPr>
        <w:t>Tato metoda představuje významný posun směrem k personalizované diagnostice, což potvrzuje významný diagnostický potenciál naší hybridní molekuly. V oblasti přesného zobrazování se jedná o revoluční objev. Jsme na cestě, která nejen umožní určit jakou nemocí pacient trpí, ale taky její stadium, typ nebo agresivitu.“</w:t>
      </w:r>
    </w:p>
    <w:p w14:paraId="150D7BAC" w14:textId="77777777" w:rsidR="00514ADE" w:rsidRPr="00514ADE" w:rsidRDefault="00514ADE" w:rsidP="00514ADE">
      <w:pPr>
        <w:pStyle w:val="Standard"/>
        <w:widowControl w:val="0"/>
        <w:spacing w:before="120" w:after="120" w:line="276" w:lineRule="auto"/>
        <w:rPr>
          <w:rFonts w:cs="Arial"/>
          <w:iCs/>
          <w:szCs w:val="20"/>
          <w:lang w:val="cs-CZ"/>
        </w:rPr>
      </w:pPr>
      <w:r w:rsidRPr="00514ADE">
        <w:rPr>
          <w:rFonts w:cs="Arial"/>
          <w:iCs/>
          <w:szCs w:val="20"/>
          <w:lang w:val="cs-CZ"/>
        </w:rPr>
        <w:t>Nová hybridní kontrastní látka už je patentovaná a výzkumníci hledají potenciální investory. Podle Dr. Poláška má tato látka z laboratoří ÚOCHB vlastnosti, které z ní činí prvního vážného kandidáta na PET/MRI látku použitelnou v klinickém prostředí.</w:t>
      </w:r>
    </w:p>
    <w:p w14:paraId="0EB6A593" w14:textId="77777777" w:rsidR="00514ADE" w:rsidRDefault="00514ADE" w:rsidP="00CF6B63">
      <w:pPr>
        <w:pStyle w:val="Standard"/>
        <w:widowControl w:val="0"/>
        <w:spacing w:before="120" w:after="120" w:line="276" w:lineRule="auto"/>
        <w:rPr>
          <w:rFonts w:cs="Arial"/>
          <w:i/>
          <w:iCs/>
          <w:szCs w:val="20"/>
          <w:lang w:val="cs-CZ"/>
        </w:rPr>
      </w:pPr>
      <w:bookmarkStart w:id="2" w:name="_Hlk152063791"/>
      <w:bookmarkEnd w:id="1"/>
    </w:p>
    <w:p w14:paraId="00589825" w14:textId="51D90C38" w:rsidR="00CF6B63" w:rsidRPr="00CF6B63" w:rsidRDefault="00CF6B63" w:rsidP="00CF6B63">
      <w:pPr>
        <w:pStyle w:val="Standard"/>
        <w:widowControl w:val="0"/>
        <w:spacing w:before="120" w:after="120" w:line="276" w:lineRule="auto"/>
        <w:rPr>
          <w:rFonts w:cs="Arial"/>
          <w:i/>
          <w:iCs/>
          <w:szCs w:val="20"/>
          <w:lang w:val="cs-CZ"/>
        </w:rPr>
      </w:pPr>
      <w:r w:rsidRPr="00CF6B63">
        <w:rPr>
          <w:rFonts w:cs="Arial"/>
          <w:i/>
          <w:iCs/>
          <w:szCs w:val="20"/>
          <w:lang w:val="cs-CZ"/>
        </w:rPr>
        <w:t xml:space="preserve">Původní článek: </w:t>
      </w:r>
      <w:proofErr w:type="spellStart"/>
      <w:r w:rsidRPr="00CF6B63">
        <w:rPr>
          <w:rFonts w:cs="Arial"/>
          <w:i/>
          <w:iCs/>
          <w:szCs w:val="20"/>
          <w:lang w:val="cs-CZ"/>
        </w:rPr>
        <w:t>Kretschmer</w:t>
      </w:r>
      <w:proofErr w:type="spellEnd"/>
      <w:r w:rsidRPr="00CF6B63">
        <w:rPr>
          <w:rFonts w:cs="Arial"/>
          <w:i/>
          <w:iCs/>
          <w:szCs w:val="20"/>
          <w:lang w:val="cs-CZ"/>
        </w:rPr>
        <w:t xml:space="preserve">, J.; </w:t>
      </w:r>
      <w:proofErr w:type="spellStart"/>
      <w:r w:rsidRPr="00CF6B63">
        <w:rPr>
          <w:rFonts w:cs="Arial"/>
          <w:i/>
          <w:iCs/>
          <w:szCs w:val="20"/>
          <w:lang w:val="cs-CZ"/>
        </w:rPr>
        <w:t>Chiaffarelli</w:t>
      </w:r>
      <w:proofErr w:type="spellEnd"/>
      <w:r w:rsidRPr="00CF6B63">
        <w:rPr>
          <w:rFonts w:cs="Arial"/>
          <w:i/>
          <w:iCs/>
          <w:szCs w:val="20"/>
          <w:lang w:val="cs-CZ"/>
        </w:rPr>
        <w:t xml:space="preserve">, R.; </w:t>
      </w:r>
      <w:proofErr w:type="spellStart"/>
      <w:r w:rsidRPr="00CF6B63">
        <w:rPr>
          <w:rFonts w:cs="Arial"/>
          <w:i/>
          <w:iCs/>
          <w:szCs w:val="20"/>
          <w:lang w:val="cs-CZ"/>
        </w:rPr>
        <w:t>Cotton</w:t>
      </w:r>
      <w:proofErr w:type="spellEnd"/>
      <w:r w:rsidRPr="00CF6B63">
        <w:rPr>
          <w:rFonts w:cs="Arial"/>
          <w:i/>
          <w:iCs/>
          <w:szCs w:val="20"/>
          <w:lang w:val="cs-CZ"/>
        </w:rPr>
        <w:t xml:space="preserve">, J.; Blahut, J.; </w:t>
      </w:r>
      <w:proofErr w:type="spellStart"/>
      <w:r w:rsidRPr="00CF6B63">
        <w:rPr>
          <w:rFonts w:cs="Arial"/>
          <w:i/>
          <w:iCs/>
          <w:szCs w:val="20"/>
          <w:lang w:val="cs-CZ"/>
        </w:rPr>
        <w:t>Ralis</w:t>
      </w:r>
      <w:proofErr w:type="spellEnd"/>
      <w:r w:rsidRPr="00CF6B63">
        <w:rPr>
          <w:rFonts w:cs="Arial"/>
          <w:i/>
          <w:iCs/>
          <w:szCs w:val="20"/>
          <w:lang w:val="cs-CZ"/>
        </w:rPr>
        <w:t xml:space="preserve">, J.; </w:t>
      </w:r>
      <w:proofErr w:type="spellStart"/>
      <w:r w:rsidRPr="00CF6B63">
        <w:rPr>
          <w:rFonts w:cs="Arial"/>
          <w:i/>
          <w:iCs/>
          <w:szCs w:val="20"/>
          <w:lang w:val="cs-CZ"/>
        </w:rPr>
        <w:t>Dračínský</w:t>
      </w:r>
      <w:proofErr w:type="spellEnd"/>
      <w:r w:rsidRPr="00CF6B63">
        <w:rPr>
          <w:rFonts w:cs="Arial"/>
          <w:i/>
          <w:iCs/>
          <w:szCs w:val="20"/>
          <w:lang w:val="cs-CZ"/>
        </w:rPr>
        <w:t xml:space="preserve">, M.; Matějková, S.; </w:t>
      </w:r>
      <w:proofErr w:type="spellStart"/>
      <w:r w:rsidRPr="00CF6B63">
        <w:rPr>
          <w:rFonts w:cs="Arial"/>
          <w:i/>
          <w:iCs/>
          <w:szCs w:val="20"/>
          <w:lang w:val="cs-CZ"/>
        </w:rPr>
        <w:t>Vuozzo</w:t>
      </w:r>
      <w:proofErr w:type="spellEnd"/>
      <w:r w:rsidRPr="00CF6B63">
        <w:rPr>
          <w:rFonts w:cs="Arial"/>
          <w:i/>
          <w:iCs/>
          <w:szCs w:val="20"/>
          <w:lang w:val="cs-CZ"/>
        </w:rPr>
        <w:t xml:space="preserve">, M.; </w:t>
      </w:r>
      <w:proofErr w:type="spellStart"/>
      <w:r w:rsidRPr="00CF6B63">
        <w:rPr>
          <w:rFonts w:cs="Arial"/>
          <w:i/>
          <w:iCs/>
          <w:szCs w:val="20"/>
          <w:lang w:val="cs-CZ"/>
        </w:rPr>
        <w:t>Seeling</w:t>
      </w:r>
      <w:proofErr w:type="spellEnd"/>
      <w:r w:rsidRPr="00CF6B63">
        <w:rPr>
          <w:rFonts w:cs="Arial"/>
          <w:i/>
          <w:iCs/>
          <w:szCs w:val="20"/>
          <w:lang w:val="cs-CZ"/>
        </w:rPr>
        <w:t xml:space="preserve">, U.; Schmid, A. M.; </w:t>
      </w:r>
      <w:proofErr w:type="spellStart"/>
      <w:r w:rsidRPr="00CF6B63">
        <w:rPr>
          <w:rFonts w:cs="Arial"/>
          <w:i/>
          <w:iCs/>
          <w:szCs w:val="20"/>
          <w:lang w:val="cs-CZ"/>
        </w:rPr>
        <w:t>Martins</w:t>
      </w:r>
      <w:proofErr w:type="spellEnd"/>
      <w:r w:rsidRPr="00CF6B63">
        <w:rPr>
          <w:rFonts w:cs="Arial"/>
          <w:i/>
          <w:iCs/>
          <w:szCs w:val="20"/>
          <w:lang w:val="cs-CZ"/>
        </w:rPr>
        <w:t xml:space="preserve">, A. F.; Polášek, M. A </w:t>
      </w:r>
      <w:proofErr w:type="spellStart"/>
      <w:r w:rsidRPr="00CF6B63">
        <w:rPr>
          <w:rFonts w:cs="Arial"/>
          <w:i/>
          <w:iCs/>
          <w:szCs w:val="20"/>
          <w:lang w:val="cs-CZ"/>
        </w:rPr>
        <w:t>Macrocyclic</w:t>
      </w:r>
      <w:proofErr w:type="spellEnd"/>
      <w:r w:rsidRPr="00CF6B63">
        <w:rPr>
          <w:rFonts w:cs="Arial"/>
          <w:i/>
          <w:iCs/>
          <w:szCs w:val="20"/>
          <w:lang w:val="cs-CZ"/>
        </w:rPr>
        <w:t xml:space="preserve"> Hybrid PET/MRI </w:t>
      </w:r>
      <w:proofErr w:type="spellStart"/>
      <w:r w:rsidRPr="00CF6B63">
        <w:rPr>
          <w:rFonts w:cs="Arial"/>
          <w:i/>
          <w:iCs/>
          <w:szCs w:val="20"/>
          <w:lang w:val="cs-CZ"/>
        </w:rPr>
        <w:t>Probe</w:t>
      </w:r>
      <w:proofErr w:type="spellEnd"/>
      <w:r w:rsidRPr="00CF6B63">
        <w:rPr>
          <w:rFonts w:cs="Arial"/>
          <w:i/>
          <w:iCs/>
          <w:szCs w:val="20"/>
          <w:lang w:val="cs-CZ"/>
        </w:rPr>
        <w:t xml:space="preserve"> </w:t>
      </w:r>
      <w:proofErr w:type="spellStart"/>
      <w:r w:rsidRPr="00CF6B63">
        <w:rPr>
          <w:rFonts w:cs="Arial"/>
          <w:i/>
          <w:iCs/>
          <w:szCs w:val="20"/>
          <w:lang w:val="cs-CZ"/>
        </w:rPr>
        <w:t>for</w:t>
      </w:r>
      <w:proofErr w:type="spellEnd"/>
      <w:r w:rsidRPr="00CF6B63">
        <w:rPr>
          <w:rFonts w:cs="Arial"/>
          <w:i/>
          <w:iCs/>
          <w:szCs w:val="20"/>
          <w:lang w:val="cs-CZ"/>
        </w:rPr>
        <w:t xml:space="preserve"> </w:t>
      </w:r>
      <w:proofErr w:type="spellStart"/>
      <w:r w:rsidRPr="00CF6B63">
        <w:rPr>
          <w:rFonts w:cs="Arial"/>
          <w:i/>
          <w:iCs/>
          <w:szCs w:val="20"/>
          <w:lang w:val="cs-CZ"/>
        </w:rPr>
        <w:t>Quantitative</w:t>
      </w:r>
      <w:proofErr w:type="spellEnd"/>
      <w:r w:rsidRPr="00CF6B63">
        <w:rPr>
          <w:rFonts w:cs="Arial"/>
          <w:i/>
          <w:iCs/>
          <w:szCs w:val="20"/>
          <w:lang w:val="cs-CZ"/>
        </w:rPr>
        <w:t xml:space="preserve"> </w:t>
      </w:r>
      <w:proofErr w:type="spellStart"/>
      <w:r w:rsidRPr="00CF6B63">
        <w:rPr>
          <w:rFonts w:cs="Arial"/>
          <w:i/>
          <w:iCs/>
          <w:szCs w:val="20"/>
          <w:lang w:val="cs-CZ"/>
        </w:rPr>
        <w:t>Perfusion</w:t>
      </w:r>
      <w:proofErr w:type="spellEnd"/>
      <w:r w:rsidRPr="00CF6B63">
        <w:rPr>
          <w:rFonts w:cs="Arial"/>
          <w:i/>
          <w:iCs/>
          <w:szCs w:val="20"/>
          <w:lang w:val="cs-CZ"/>
        </w:rPr>
        <w:t xml:space="preserve"> </w:t>
      </w:r>
      <w:proofErr w:type="spellStart"/>
      <w:r w:rsidRPr="00CF6B63">
        <w:rPr>
          <w:rFonts w:cs="Arial"/>
          <w:i/>
          <w:iCs/>
          <w:szCs w:val="20"/>
          <w:lang w:val="cs-CZ"/>
        </w:rPr>
        <w:t>Imaging</w:t>
      </w:r>
      <w:proofErr w:type="spellEnd"/>
      <w:r w:rsidRPr="00CF6B63">
        <w:rPr>
          <w:rFonts w:cs="Arial"/>
          <w:i/>
          <w:iCs/>
          <w:szCs w:val="20"/>
          <w:lang w:val="cs-CZ"/>
        </w:rPr>
        <w:t xml:space="preserve"> In </w:t>
      </w:r>
      <w:proofErr w:type="spellStart"/>
      <w:r w:rsidRPr="00CF6B63">
        <w:rPr>
          <w:rFonts w:cs="Arial"/>
          <w:i/>
          <w:iCs/>
          <w:szCs w:val="20"/>
          <w:lang w:val="cs-CZ"/>
        </w:rPr>
        <w:t>Vivo</w:t>
      </w:r>
      <w:proofErr w:type="spellEnd"/>
      <w:r w:rsidRPr="00CF6B63">
        <w:rPr>
          <w:rFonts w:cs="Arial"/>
          <w:i/>
          <w:iCs/>
          <w:szCs w:val="20"/>
          <w:lang w:val="cs-CZ"/>
        </w:rPr>
        <w:t xml:space="preserve">. </w:t>
      </w:r>
      <w:proofErr w:type="spellStart"/>
      <w:r w:rsidRPr="00CF6B63">
        <w:rPr>
          <w:rFonts w:cs="Arial"/>
          <w:i/>
          <w:iCs/>
          <w:szCs w:val="20"/>
          <w:lang w:val="cs-CZ"/>
        </w:rPr>
        <w:t>Angew</w:t>
      </w:r>
      <w:proofErr w:type="spellEnd"/>
      <w:r w:rsidRPr="00CF6B63">
        <w:rPr>
          <w:rFonts w:cs="Arial"/>
          <w:i/>
          <w:iCs/>
          <w:szCs w:val="20"/>
          <w:lang w:val="cs-CZ"/>
        </w:rPr>
        <w:t xml:space="preserve">. </w:t>
      </w:r>
      <w:proofErr w:type="spellStart"/>
      <w:r w:rsidRPr="00CF6B63">
        <w:rPr>
          <w:rFonts w:cs="Arial"/>
          <w:i/>
          <w:iCs/>
          <w:szCs w:val="20"/>
          <w:lang w:val="cs-CZ"/>
        </w:rPr>
        <w:t>Chem</w:t>
      </w:r>
      <w:proofErr w:type="spellEnd"/>
      <w:r w:rsidRPr="00CF6B63">
        <w:rPr>
          <w:rFonts w:cs="Arial"/>
          <w:i/>
          <w:iCs/>
          <w:szCs w:val="20"/>
          <w:lang w:val="cs-CZ"/>
        </w:rPr>
        <w:t xml:space="preserve">. </w:t>
      </w:r>
      <w:proofErr w:type="spellStart"/>
      <w:r w:rsidRPr="00CF6B63">
        <w:rPr>
          <w:rFonts w:cs="Arial"/>
          <w:i/>
          <w:iCs/>
          <w:szCs w:val="20"/>
          <w:lang w:val="cs-CZ"/>
        </w:rPr>
        <w:t>Int</w:t>
      </w:r>
      <w:proofErr w:type="spellEnd"/>
      <w:r w:rsidRPr="00CF6B63">
        <w:rPr>
          <w:rFonts w:cs="Arial"/>
          <w:i/>
          <w:iCs/>
          <w:szCs w:val="20"/>
          <w:lang w:val="cs-CZ"/>
        </w:rPr>
        <w:t xml:space="preserve">. Ed. </w:t>
      </w:r>
      <w:r w:rsidRPr="00CF6B63">
        <w:rPr>
          <w:rFonts w:cs="Arial"/>
          <w:b/>
          <w:bCs/>
          <w:i/>
          <w:iCs/>
          <w:szCs w:val="20"/>
          <w:lang w:val="cs-CZ"/>
        </w:rPr>
        <w:t>2024</w:t>
      </w:r>
      <w:r w:rsidRPr="00CF6B63">
        <w:rPr>
          <w:rFonts w:cs="Arial"/>
          <w:i/>
          <w:iCs/>
          <w:szCs w:val="20"/>
          <w:lang w:val="cs-CZ"/>
        </w:rPr>
        <w:t xml:space="preserve">, e202409520. </w:t>
      </w:r>
      <w:hyperlink r:id="rId7" w:history="1">
        <w:r w:rsidRPr="00CF6B63">
          <w:rPr>
            <w:rStyle w:val="Hypertextovodkaz"/>
            <w:rFonts w:cs="Arial"/>
            <w:i/>
            <w:iCs/>
            <w:szCs w:val="20"/>
            <w:lang w:val="cs-CZ"/>
          </w:rPr>
          <w:t>https://doi.org/10.1002/anie.202409520</w:t>
        </w:r>
      </w:hyperlink>
    </w:p>
    <w:bookmarkEnd w:id="2"/>
    <w:p w14:paraId="37F6AAD3" w14:textId="77777777" w:rsidR="008D1D7E" w:rsidRDefault="008D1D7E" w:rsidP="00FD5077">
      <w:pPr>
        <w:pStyle w:val="Standard"/>
        <w:widowControl w:val="0"/>
        <w:suppressAutoHyphens w:val="0"/>
        <w:spacing w:before="120" w:after="120" w:line="276" w:lineRule="auto"/>
        <w:rPr>
          <w:rFonts w:cs="Arial"/>
          <w:iCs/>
          <w:szCs w:val="20"/>
          <w:lang w:val="cs-CZ"/>
        </w:rPr>
      </w:pPr>
    </w:p>
    <w:p w14:paraId="478B5051" w14:textId="77777777" w:rsidR="008D1D7E" w:rsidRPr="00511B15" w:rsidRDefault="008D1D7E" w:rsidP="008D1D7E">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8"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 medicinální chemie, organické a materiálové chemie, chemie přírodních látek, biochemie a molekulární biologie, fyzikální chemie, teoretické chemie a analytické chemie. Nedílnou součástí poslání ÚOCHB je přenos výsledků základního výzkumu do praxe. Důraz na mezioborové zaměření výzkumu ústí do řady aplikací v medicíně, farmacii a dalších odvětvích.</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2CE5D024" w14:textId="14C0BE61" w:rsidR="005A6320" w:rsidRDefault="005A6320" w:rsidP="00C41A7C">
      <w:pPr>
        <w:widowControl w:val="0"/>
        <w:suppressAutoHyphens/>
        <w:autoSpaceDE w:val="0"/>
        <w:autoSpaceDN w:val="0"/>
        <w:adjustRightInd w:val="0"/>
        <w:spacing w:before="120" w:after="120" w:line="276" w:lineRule="auto"/>
        <w:rPr>
          <w:rFonts w:cs="Arial"/>
          <w:kern w:val="1"/>
          <w:szCs w:val="20"/>
          <w:lang w:val="cs-CZ"/>
        </w:rPr>
      </w:pPr>
      <w:r>
        <w:rPr>
          <w:rFonts w:cs="Arial"/>
          <w:kern w:val="1"/>
          <w:szCs w:val="20"/>
          <w:lang w:val="cs-CZ"/>
        </w:rPr>
        <w:t xml:space="preserve">Veronika Sedláčková </w:t>
      </w:r>
      <w:r w:rsidR="00E61839" w:rsidRPr="00511B15">
        <w:rPr>
          <w:rFonts w:cs="Arial"/>
          <w:kern w:val="1"/>
          <w:szCs w:val="20"/>
          <w:lang w:val="cs-CZ"/>
        </w:rPr>
        <w:t xml:space="preserve">(ÚOCHB </w:t>
      </w:r>
      <w:r w:rsidR="008930DD" w:rsidRPr="00511B15">
        <w:rPr>
          <w:rFonts w:cs="Arial"/>
          <w:kern w:val="1"/>
          <w:szCs w:val="20"/>
          <w:lang w:val="cs-CZ"/>
        </w:rPr>
        <w:t>– Komunikace</w:t>
      </w:r>
      <w:r w:rsidR="00E61839" w:rsidRPr="00511B15">
        <w:rPr>
          <w:rFonts w:cs="Arial"/>
          <w:kern w:val="1"/>
          <w:szCs w:val="20"/>
          <w:lang w:val="cs-CZ"/>
        </w:rPr>
        <w:t>)</w:t>
      </w:r>
      <w:r w:rsidR="008930DD" w:rsidRPr="00511B15">
        <w:rPr>
          <w:rFonts w:cs="Arial"/>
          <w:kern w:val="1"/>
          <w:szCs w:val="20"/>
          <w:lang w:val="cs-CZ"/>
        </w:rPr>
        <w:t xml:space="preserve">: </w:t>
      </w:r>
      <w:hyperlink r:id="rId9" w:history="1">
        <w:r w:rsidRPr="00407561">
          <w:rPr>
            <w:rStyle w:val="Hypertextovodkaz"/>
            <w:rFonts w:eastAsia="SimSun" w:cs="Arial"/>
            <w:b/>
            <w:iCs/>
            <w:color w:val="00205B"/>
            <w:kern w:val="3"/>
            <w:szCs w:val="20"/>
            <w:u w:val="none"/>
            <w:lang w:val="cs-CZ"/>
          </w:rPr>
          <w:t>veronika.sedlackova@uochb.cas.cz</w:t>
        </w:r>
      </w:hyperlink>
      <w:r>
        <w:rPr>
          <w:rFonts w:cs="Arial"/>
          <w:kern w:val="1"/>
          <w:szCs w:val="20"/>
          <w:lang w:val="cs-CZ"/>
        </w:rPr>
        <w:t xml:space="preserve"> </w:t>
      </w:r>
    </w:p>
    <w:p w14:paraId="3491F5EF" w14:textId="7EE56A71"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mob: +420</w:t>
      </w:r>
      <w:r w:rsidR="009C6015">
        <w:rPr>
          <w:rFonts w:cs="Arial"/>
          <w:kern w:val="1"/>
          <w:szCs w:val="20"/>
          <w:lang w:val="cs-CZ"/>
        </w:rPr>
        <w:t> 602 160 135</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1143DA">
      <w:headerReference w:type="default" r:id="rId10"/>
      <w:footerReference w:type="default" r:id="rId11"/>
      <w:headerReference w:type="first" r:id="rId12"/>
      <w:footerReference w:type="first" r:id="rId13"/>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E377" w14:textId="77777777" w:rsidR="003A6B29" w:rsidRDefault="003A6B29" w:rsidP="00AF7F5A">
      <w:r>
        <w:separator/>
      </w:r>
    </w:p>
  </w:endnote>
  <w:endnote w:type="continuationSeparator" w:id="0">
    <w:p w14:paraId="766BEA85" w14:textId="77777777" w:rsidR="003A6B29" w:rsidRDefault="003A6B29"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F88A" w14:textId="77777777" w:rsidR="003A6B29" w:rsidRDefault="003A6B29" w:rsidP="00AF7F5A">
      <w:r>
        <w:separator/>
      </w:r>
    </w:p>
  </w:footnote>
  <w:footnote w:type="continuationSeparator" w:id="0">
    <w:p w14:paraId="5958E521" w14:textId="77777777" w:rsidR="003A6B29" w:rsidRDefault="003A6B29"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852" w14:textId="4AA6CBFC" w:rsidR="007D2D4A" w:rsidRDefault="007D2D4A" w:rsidP="007D2D4A">
    <w:pPr>
      <w:pStyle w:val="Zhlav"/>
      <w:rPr>
        <w:rFonts w:cs="Arial"/>
        <w:iCs/>
        <w:szCs w:val="20"/>
        <w:lang w:val="cs-CZ"/>
      </w:rPr>
    </w:pPr>
    <w:r>
      <w:rPr>
        <w:noProof/>
        <w:lang w:val="cs-CZ" w:eastAsia="cs-CZ"/>
      </w:rPr>
      <w:drawing>
        <wp:anchor distT="0" distB="0" distL="114300" distR="114300" simplePos="0" relativeHeight="251663360" behindDoc="1" locked="0" layoutInCell="1" allowOverlap="1" wp14:anchorId="23FB3515" wp14:editId="5348FEF2">
          <wp:simplePos x="0" y="0"/>
          <wp:positionH relativeFrom="page">
            <wp:posOffset>-473</wp:posOffset>
          </wp:positionH>
          <wp:positionV relativeFrom="paragraph">
            <wp:posOffset>-3175</wp:posOffset>
          </wp:positionV>
          <wp:extent cx="7559675" cy="2159635"/>
          <wp:effectExtent l="0" t="0" r="0"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2C34A7E5" w:rsidR="007D2D4A" w:rsidRDefault="007D2D4A" w:rsidP="007D2D4A">
    <w:pPr>
      <w:pStyle w:val="Zhlav"/>
      <w:rPr>
        <w:rFonts w:cs="Arial"/>
        <w:iCs/>
        <w:szCs w:val="20"/>
        <w:lang w:val="cs-CZ"/>
      </w:rPr>
    </w:pPr>
  </w:p>
  <w:p w14:paraId="1D2C6331" w14:textId="3825BFF5" w:rsidR="007D2D4A" w:rsidRDefault="007D2D4A" w:rsidP="007D2D4A">
    <w:pPr>
      <w:pStyle w:val="Zhlav"/>
      <w:rPr>
        <w:rFonts w:cs="Arial"/>
        <w:iCs/>
        <w:szCs w:val="20"/>
        <w:lang w:val="cs-CZ"/>
      </w:rPr>
    </w:pPr>
  </w:p>
  <w:p w14:paraId="6272AE08" w14:textId="04DBFA41" w:rsidR="00B94938" w:rsidRPr="007D2D4A" w:rsidRDefault="00E82B94" w:rsidP="00E82B94">
    <w:pPr>
      <w:pStyle w:val="Zhlav"/>
      <w:jc w:val="center"/>
      <w:rPr>
        <w:rFonts w:cs="Arial"/>
        <w:iCs/>
        <w:szCs w:val="20"/>
        <w:lang w:val="cs-CZ"/>
      </w:rPr>
    </w:pPr>
    <w:r>
      <w:rPr>
        <w:rFonts w:cs="Arial"/>
        <w:iCs/>
        <w:noProof/>
        <w:szCs w:val="20"/>
        <w:lang w:val="cs-CZ"/>
      </w:rPr>
      <w:drawing>
        <wp:anchor distT="0" distB="0" distL="114300" distR="114300" simplePos="0" relativeHeight="251665408" behindDoc="1" locked="0" layoutInCell="1" allowOverlap="1" wp14:anchorId="1A529989" wp14:editId="589993CC">
          <wp:simplePos x="0" y="0"/>
          <wp:positionH relativeFrom="margin">
            <wp:posOffset>3543979</wp:posOffset>
          </wp:positionH>
          <wp:positionV relativeFrom="paragraph">
            <wp:posOffset>744869</wp:posOffset>
          </wp:positionV>
          <wp:extent cx="2352675" cy="354330"/>
          <wp:effectExtent l="0" t="0" r="9525" b="7620"/>
          <wp:wrapNone/>
          <wp:docPr id="1539380808" name="Obrázek 1"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80808" name="Obrázek 1" descr="Obsah obrázku text, Písmo, Grafika, grafický design&#10;&#10;Popis byl vytvořen automatick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52675"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D4A" w:rsidRPr="00511B15">
      <w:rPr>
        <w:rFonts w:cs="Arial"/>
        <w:noProof/>
        <w:szCs w:val="20"/>
        <w:lang w:val="cs-CZ"/>
      </w:rPr>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0DCB"/>
    <w:rsid w:val="00003E03"/>
    <w:rsid w:val="0000552D"/>
    <w:rsid w:val="00015C56"/>
    <w:rsid w:val="00031703"/>
    <w:rsid w:val="0003226B"/>
    <w:rsid w:val="0003522A"/>
    <w:rsid w:val="00067A28"/>
    <w:rsid w:val="00072817"/>
    <w:rsid w:val="00081A54"/>
    <w:rsid w:val="00090482"/>
    <w:rsid w:val="000927BA"/>
    <w:rsid w:val="00094800"/>
    <w:rsid w:val="000B034B"/>
    <w:rsid w:val="000B1552"/>
    <w:rsid w:val="000B38E1"/>
    <w:rsid w:val="000B5FE5"/>
    <w:rsid w:val="000C48B9"/>
    <w:rsid w:val="000C4D9E"/>
    <w:rsid w:val="000D457B"/>
    <w:rsid w:val="000E0E27"/>
    <w:rsid w:val="000E5E27"/>
    <w:rsid w:val="000E694E"/>
    <w:rsid w:val="001009D7"/>
    <w:rsid w:val="001143DA"/>
    <w:rsid w:val="00121FB2"/>
    <w:rsid w:val="00124955"/>
    <w:rsid w:val="001251A9"/>
    <w:rsid w:val="0013285C"/>
    <w:rsid w:val="001405DF"/>
    <w:rsid w:val="00144C5A"/>
    <w:rsid w:val="001570BC"/>
    <w:rsid w:val="00171030"/>
    <w:rsid w:val="00183CA3"/>
    <w:rsid w:val="001A60D0"/>
    <w:rsid w:val="001D113F"/>
    <w:rsid w:val="001E2462"/>
    <w:rsid w:val="00211044"/>
    <w:rsid w:val="00215006"/>
    <w:rsid w:val="00216214"/>
    <w:rsid w:val="00231BF4"/>
    <w:rsid w:val="00234FBA"/>
    <w:rsid w:val="00240586"/>
    <w:rsid w:val="00262A5A"/>
    <w:rsid w:val="00297A1D"/>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B29"/>
    <w:rsid w:val="003A6F76"/>
    <w:rsid w:val="003A7BC0"/>
    <w:rsid w:val="003B0C66"/>
    <w:rsid w:val="003B4396"/>
    <w:rsid w:val="003B5575"/>
    <w:rsid w:val="003B59C5"/>
    <w:rsid w:val="003C2042"/>
    <w:rsid w:val="003C5042"/>
    <w:rsid w:val="003D05A2"/>
    <w:rsid w:val="003D0A8F"/>
    <w:rsid w:val="003D5833"/>
    <w:rsid w:val="00406F06"/>
    <w:rsid w:val="00407561"/>
    <w:rsid w:val="00456677"/>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4D21B2"/>
    <w:rsid w:val="0050323B"/>
    <w:rsid w:val="0050352F"/>
    <w:rsid w:val="00505B7A"/>
    <w:rsid w:val="00511B15"/>
    <w:rsid w:val="00514A9D"/>
    <w:rsid w:val="00514ADE"/>
    <w:rsid w:val="00521C2C"/>
    <w:rsid w:val="0052203D"/>
    <w:rsid w:val="00523415"/>
    <w:rsid w:val="00550A33"/>
    <w:rsid w:val="00557F20"/>
    <w:rsid w:val="00561DC3"/>
    <w:rsid w:val="00566DB2"/>
    <w:rsid w:val="00574723"/>
    <w:rsid w:val="005A1E70"/>
    <w:rsid w:val="005A6320"/>
    <w:rsid w:val="005C04E3"/>
    <w:rsid w:val="005F12C4"/>
    <w:rsid w:val="005F5888"/>
    <w:rsid w:val="005F7683"/>
    <w:rsid w:val="00601397"/>
    <w:rsid w:val="00604685"/>
    <w:rsid w:val="00607447"/>
    <w:rsid w:val="00613D00"/>
    <w:rsid w:val="0061608D"/>
    <w:rsid w:val="006278BC"/>
    <w:rsid w:val="00631D35"/>
    <w:rsid w:val="006472A2"/>
    <w:rsid w:val="00663CD1"/>
    <w:rsid w:val="00691009"/>
    <w:rsid w:val="0069157E"/>
    <w:rsid w:val="00692FAC"/>
    <w:rsid w:val="00694738"/>
    <w:rsid w:val="006A2EB9"/>
    <w:rsid w:val="006A3902"/>
    <w:rsid w:val="006A7334"/>
    <w:rsid w:val="006B582C"/>
    <w:rsid w:val="006C2BC2"/>
    <w:rsid w:val="006D7118"/>
    <w:rsid w:val="006E35DE"/>
    <w:rsid w:val="006E7F06"/>
    <w:rsid w:val="00700E27"/>
    <w:rsid w:val="00701BB6"/>
    <w:rsid w:val="007079FC"/>
    <w:rsid w:val="007217F7"/>
    <w:rsid w:val="00730CE3"/>
    <w:rsid w:val="007315A0"/>
    <w:rsid w:val="00736BEB"/>
    <w:rsid w:val="00744B77"/>
    <w:rsid w:val="0074601F"/>
    <w:rsid w:val="0075190D"/>
    <w:rsid w:val="00753C1C"/>
    <w:rsid w:val="00764E2B"/>
    <w:rsid w:val="00773CF7"/>
    <w:rsid w:val="00776F9E"/>
    <w:rsid w:val="00780670"/>
    <w:rsid w:val="00784D99"/>
    <w:rsid w:val="00791383"/>
    <w:rsid w:val="007A304C"/>
    <w:rsid w:val="007B0D37"/>
    <w:rsid w:val="007B3C52"/>
    <w:rsid w:val="007B411C"/>
    <w:rsid w:val="007D2D4A"/>
    <w:rsid w:val="00814C13"/>
    <w:rsid w:val="008256E8"/>
    <w:rsid w:val="00830C8E"/>
    <w:rsid w:val="008526DA"/>
    <w:rsid w:val="00860146"/>
    <w:rsid w:val="00867BDA"/>
    <w:rsid w:val="0087543F"/>
    <w:rsid w:val="00876B8A"/>
    <w:rsid w:val="008930DD"/>
    <w:rsid w:val="008C29CD"/>
    <w:rsid w:val="008C49DF"/>
    <w:rsid w:val="008D1D7E"/>
    <w:rsid w:val="008E17EF"/>
    <w:rsid w:val="008E5D35"/>
    <w:rsid w:val="008E6967"/>
    <w:rsid w:val="008F2A09"/>
    <w:rsid w:val="008F550C"/>
    <w:rsid w:val="00900479"/>
    <w:rsid w:val="009025FC"/>
    <w:rsid w:val="0090783C"/>
    <w:rsid w:val="00914083"/>
    <w:rsid w:val="0092019B"/>
    <w:rsid w:val="0092351C"/>
    <w:rsid w:val="0092473E"/>
    <w:rsid w:val="00927183"/>
    <w:rsid w:val="0093221B"/>
    <w:rsid w:val="00933EC9"/>
    <w:rsid w:val="009407FE"/>
    <w:rsid w:val="009422DB"/>
    <w:rsid w:val="00944C6B"/>
    <w:rsid w:val="00953894"/>
    <w:rsid w:val="00956461"/>
    <w:rsid w:val="0097095B"/>
    <w:rsid w:val="009834E1"/>
    <w:rsid w:val="00990324"/>
    <w:rsid w:val="009954AF"/>
    <w:rsid w:val="009A605E"/>
    <w:rsid w:val="009C0D5E"/>
    <w:rsid w:val="009C122C"/>
    <w:rsid w:val="009C6015"/>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018FA"/>
    <w:rsid w:val="00B24E0C"/>
    <w:rsid w:val="00B24F50"/>
    <w:rsid w:val="00B42B7E"/>
    <w:rsid w:val="00B43B4D"/>
    <w:rsid w:val="00B451EC"/>
    <w:rsid w:val="00B50CC4"/>
    <w:rsid w:val="00B51446"/>
    <w:rsid w:val="00B531D4"/>
    <w:rsid w:val="00B56557"/>
    <w:rsid w:val="00B65993"/>
    <w:rsid w:val="00B67597"/>
    <w:rsid w:val="00B72D01"/>
    <w:rsid w:val="00B73ACC"/>
    <w:rsid w:val="00B94938"/>
    <w:rsid w:val="00BB55B1"/>
    <w:rsid w:val="00C173B8"/>
    <w:rsid w:val="00C26B10"/>
    <w:rsid w:val="00C41A7C"/>
    <w:rsid w:val="00C441FA"/>
    <w:rsid w:val="00C555A9"/>
    <w:rsid w:val="00C57AAC"/>
    <w:rsid w:val="00C611B3"/>
    <w:rsid w:val="00C746D5"/>
    <w:rsid w:val="00C74945"/>
    <w:rsid w:val="00C80A2C"/>
    <w:rsid w:val="00CB77FB"/>
    <w:rsid w:val="00CC33E4"/>
    <w:rsid w:val="00CD7289"/>
    <w:rsid w:val="00CE27F3"/>
    <w:rsid w:val="00CF0DE7"/>
    <w:rsid w:val="00CF4426"/>
    <w:rsid w:val="00CF6B63"/>
    <w:rsid w:val="00CF749D"/>
    <w:rsid w:val="00D1249C"/>
    <w:rsid w:val="00D124AC"/>
    <w:rsid w:val="00D1568D"/>
    <w:rsid w:val="00D21D82"/>
    <w:rsid w:val="00D25DA5"/>
    <w:rsid w:val="00D272B9"/>
    <w:rsid w:val="00D27F16"/>
    <w:rsid w:val="00D40BC4"/>
    <w:rsid w:val="00D639CC"/>
    <w:rsid w:val="00D8016E"/>
    <w:rsid w:val="00D92EA2"/>
    <w:rsid w:val="00DA1A31"/>
    <w:rsid w:val="00DA27A9"/>
    <w:rsid w:val="00DA2E69"/>
    <w:rsid w:val="00DA4F79"/>
    <w:rsid w:val="00DB7E4A"/>
    <w:rsid w:val="00DC1047"/>
    <w:rsid w:val="00DD52CC"/>
    <w:rsid w:val="00DE0585"/>
    <w:rsid w:val="00DF42DD"/>
    <w:rsid w:val="00DF5CB5"/>
    <w:rsid w:val="00E0303C"/>
    <w:rsid w:val="00E150BC"/>
    <w:rsid w:val="00E17FD6"/>
    <w:rsid w:val="00E30104"/>
    <w:rsid w:val="00E4205E"/>
    <w:rsid w:val="00E420AC"/>
    <w:rsid w:val="00E53F41"/>
    <w:rsid w:val="00E540E3"/>
    <w:rsid w:val="00E61839"/>
    <w:rsid w:val="00E81C5B"/>
    <w:rsid w:val="00E81F3C"/>
    <w:rsid w:val="00E82B94"/>
    <w:rsid w:val="00E86A51"/>
    <w:rsid w:val="00E9770E"/>
    <w:rsid w:val="00EB24BA"/>
    <w:rsid w:val="00EB764D"/>
    <w:rsid w:val="00EC508C"/>
    <w:rsid w:val="00EC6788"/>
    <w:rsid w:val="00F03B27"/>
    <w:rsid w:val="00F04DDE"/>
    <w:rsid w:val="00F40C69"/>
    <w:rsid w:val="00F42A51"/>
    <w:rsid w:val="00F661EA"/>
    <w:rsid w:val="00F856CF"/>
    <w:rsid w:val="00F870DD"/>
    <w:rsid w:val="00FB0AF3"/>
    <w:rsid w:val="00FB131A"/>
    <w:rsid w:val="00FC1E51"/>
    <w:rsid w:val="00FD4276"/>
    <w:rsid w:val="00FD5077"/>
    <w:rsid w:val="00FD6A3A"/>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5A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hb.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02/anie.20240952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ronika.sedlackova@uochb.ca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E7E-6213-422E-B92B-FB00A2E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705</Words>
  <Characters>4291</Characters>
  <Application>Microsoft Office Word</Application>
  <DocSecurity>0</DocSecurity>
  <Lines>72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4</cp:revision>
  <cp:lastPrinted>2017-08-09T12:51:00Z</cp:lastPrinted>
  <dcterms:created xsi:type="dcterms:W3CDTF">2024-08-05T06:43:00Z</dcterms:created>
  <dcterms:modified xsi:type="dcterms:W3CDTF">2024-08-05T06:52:00Z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cd83720a6cb8e73ba1aecf0f3bfae0e82adda607a13b9fdf06005a3bcd0bd47b</vt:lpwstr>
  </property>
</Properties>
</file>