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5DB7C56E" w14:textId="2A0AE802" w:rsidR="000C3485" w:rsidRPr="000C3485" w:rsidRDefault="000C3485" w:rsidP="000C3485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  <w:r w:rsidRPr="000C3485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Rychlejší a účinnější léčba závažných chorob díky vědcům z ÚOCHB </w:t>
      </w:r>
    </w:p>
    <w:bookmarkEnd w:id="0"/>
    <w:p w14:paraId="0E5CE883" w14:textId="39641E50" w:rsidR="007B77E9" w:rsidRPr="00456677" w:rsidRDefault="007B77E9" w:rsidP="000C3485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</w:p>
    <w:p w14:paraId="6C91E24C" w14:textId="58E1A41D" w:rsidR="00456677" w:rsidRPr="007B77E9" w:rsidRDefault="007B77E9" w:rsidP="00456677">
      <w:pPr>
        <w:pStyle w:val="Standard"/>
        <w:widowControl w:val="0"/>
        <w:spacing w:before="120" w:after="120" w:line="276" w:lineRule="auto"/>
        <w:rPr>
          <w:rFonts w:cs="Arial"/>
          <w:bCs/>
          <w:iCs/>
          <w:szCs w:val="20"/>
          <w:lang w:val="cs-CZ"/>
        </w:rPr>
      </w:pPr>
      <w:bookmarkStart w:id="1" w:name="_Hlk152149017"/>
      <w:r w:rsidRPr="007B77E9">
        <w:rPr>
          <w:rFonts w:cs="Arial"/>
          <w:bCs/>
          <w:iCs/>
          <w:szCs w:val="20"/>
          <w:lang w:val="cs-CZ"/>
        </w:rPr>
        <w:t>15. 10. 2024</w:t>
      </w:r>
    </w:p>
    <w:p w14:paraId="5E53C614" w14:textId="07F228FB" w:rsidR="00B018FA" w:rsidRPr="00456677" w:rsidRDefault="000C3485" w:rsidP="00456677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szCs w:val="20"/>
          <w:lang w:val="cs-CZ"/>
        </w:rPr>
      </w:pPr>
      <w:r w:rsidRPr="000C3485">
        <w:rPr>
          <w:rFonts w:cs="Arial"/>
          <w:b/>
          <w:bCs/>
          <w:iCs/>
          <w:szCs w:val="20"/>
          <w:lang w:val="cs-CZ"/>
        </w:rPr>
        <w:t xml:space="preserve">Vědci z ÚOCHB AV ČR připravili látky, které dokážou na předem určeném místě v těle aktivovat </w:t>
      </w:r>
      <w:proofErr w:type="spellStart"/>
      <w:r w:rsidRPr="000C3485">
        <w:rPr>
          <w:rFonts w:cs="Arial"/>
          <w:b/>
          <w:bCs/>
          <w:iCs/>
          <w:szCs w:val="20"/>
          <w:lang w:val="cs-CZ"/>
        </w:rPr>
        <w:t>proléčivo</w:t>
      </w:r>
      <w:proofErr w:type="spellEnd"/>
      <w:r w:rsidRPr="000C3485">
        <w:rPr>
          <w:rFonts w:cs="Arial"/>
          <w:b/>
          <w:bCs/>
          <w:iCs/>
          <w:szCs w:val="20"/>
          <w:lang w:val="cs-CZ"/>
        </w:rPr>
        <w:t xml:space="preserve">, zvýšit jeho efektivitu a zrychlit působení. Díky tomu bude možné líp cílit např. na zhoubné nádory, což má potenciál vylepšit terapii rakoviny. Tzv. aktivátory </w:t>
      </w:r>
      <w:proofErr w:type="spellStart"/>
      <w:r w:rsidRPr="000C3485">
        <w:rPr>
          <w:rFonts w:cs="Arial"/>
          <w:b/>
          <w:bCs/>
          <w:iCs/>
          <w:szCs w:val="20"/>
          <w:lang w:val="cs-CZ"/>
        </w:rPr>
        <w:t>proléčiv</w:t>
      </w:r>
      <w:proofErr w:type="spellEnd"/>
      <w:r w:rsidRPr="000C3485">
        <w:rPr>
          <w:rFonts w:cs="Arial"/>
          <w:b/>
          <w:bCs/>
          <w:iCs/>
          <w:szCs w:val="20"/>
          <w:lang w:val="cs-CZ"/>
        </w:rPr>
        <w:t xml:space="preserve"> nové generace vznikly v laboratoři Dr. Milana Vrábela a dva články věnované tématu otiskl významný vědecký časopis </w:t>
      </w:r>
      <w:proofErr w:type="spellStart"/>
      <w:r w:rsidRPr="000C3485">
        <w:rPr>
          <w:rFonts w:cs="Arial"/>
          <w:b/>
          <w:bCs/>
          <w:iCs/>
          <w:szCs w:val="20"/>
          <w:lang w:val="cs-CZ"/>
        </w:rPr>
        <w:t>Angewandte</w:t>
      </w:r>
      <w:proofErr w:type="spellEnd"/>
      <w:r w:rsidRPr="000C3485">
        <w:rPr>
          <w:rFonts w:cs="Arial"/>
          <w:b/>
          <w:bCs/>
          <w:iCs/>
          <w:szCs w:val="20"/>
          <w:lang w:val="cs-CZ"/>
        </w:rPr>
        <w:t xml:space="preserve"> Chemie. </w:t>
      </w:r>
      <w:r w:rsidR="007B3C52">
        <w:rPr>
          <w:rFonts w:cs="Arial"/>
          <w:b/>
          <w:bCs/>
          <w:iCs/>
          <w:szCs w:val="20"/>
          <w:lang w:val="cs-CZ"/>
        </w:rPr>
        <w:t xml:space="preserve">  </w:t>
      </w:r>
      <w:bookmarkStart w:id="2" w:name="_Hlk152063791"/>
      <w:bookmarkEnd w:id="1"/>
    </w:p>
    <w:p w14:paraId="15D57074" w14:textId="378E1181" w:rsidR="000C3485" w:rsidRPr="000C3485" w:rsidRDefault="000C3485" w:rsidP="000C3485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0C3485">
        <w:rPr>
          <w:rFonts w:cs="Arial"/>
          <w:iCs/>
          <w:szCs w:val="20"/>
          <w:lang w:val="cs-CZ"/>
        </w:rPr>
        <w:t xml:space="preserve">Moderní medicína se snaží nasadit </w:t>
      </w:r>
      <w:proofErr w:type="spellStart"/>
      <w:r w:rsidRPr="000C3485">
        <w:rPr>
          <w:rFonts w:cs="Arial"/>
          <w:iCs/>
          <w:szCs w:val="20"/>
          <w:lang w:val="cs-CZ"/>
        </w:rPr>
        <w:t>proléčiva</w:t>
      </w:r>
      <w:proofErr w:type="spellEnd"/>
      <w:r w:rsidRPr="000C3485">
        <w:rPr>
          <w:rFonts w:cs="Arial"/>
          <w:iCs/>
          <w:szCs w:val="20"/>
          <w:lang w:val="cs-CZ"/>
        </w:rPr>
        <w:t xml:space="preserve">, tedy látky, které se metabolicky mění v samotné léčivo až v těle, tak, že se aktivují na vybraném místě, např. blízko rakoviny. Tenhle proces není jednoduchý, protože </w:t>
      </w:r>
      <w:proofErr w:type="spellStart"/>
      <w:r w:rsidRPr="000C3485">
        <w:rPr>
          <w:rFonts w:cs="Arial"/>
          <w:iCs/>
          <w:szCs w:val="20"/>
          <w:lang w:val="cs-CZ"/>
        </w:rPr>
        <w:t>proléčiva</w:t>
      </w:r>
      <w:proofErr w:type="spellEnd"/>
      <w:r w:rsidRPr="000C3485">
        <w:rPr>
          <w:rFonts w:cs="Arial"/>
          <w:iCs/>
          <w:szCs w:val="20"/>
          <w:lang w:val="cs-CZ"/>
        </w:rPr>
        <w:t xml:space="preserve"> mají tendenci spustit svou funkci na nejrůznějších místech. Proto zasáhly do hry tzv. aktivátory, které celý proces usnadňují. K ‚rozbalení‘ </w:t>
      </w:r>
      <w:proofErr w:type="spellStart"/>
      <w:r w:rsidRPr="000C3485">
        <w:rPr>
          <w:rFonts w:cs="Arial"/>
          <w:iCs/>
          <w:szCs w:val="20"/>
          <w:lang w:val="cs-CZ"/>
        </w:rPr>
        <w:t>proléčiva</w:t>
      </w:r>
      <w:proofErr w:type="spellEnd"/>
      <w:r w:rsidRPr="000C3485">
        <w:rPr>
          <w:rFonts w:cs="Arial"/>
          <w:iCs/>
          <w:szCs w:val="20"/>
          <w:lang w:val="cs-CZ"/>
        </w:rPr>
        <w:t xml:space="preserve"> v organismu se v takovém případě používá specifická chemická reakce. Dosud užívaná generace aktivátorů je ovšem pomalá a neúčinná. Molekula léčivé látky se uvolní zpravidla až za několik hodin a organismus z ní dokáže využít jen zhruba 60 %. Vědecký tým z ÚOCHB ve spolupráci s Technickou univerzitou ve Vídni vlastnosti aktivátorů výrazně vylepšuje. </w:t>
      </w:r>
    </w:p>
    <w:p w14:paraId="3847D726" w14:textId="77777777" w:rsidR="000C3485" w:rsidRPr="000C3485" w:rsidRDefault="000C3485" w:rsidP="000C3485">
      <w:pPr>
        <w:pStyle w:val="Standard"/>
        <w:widowControl w:val="0"/>
        <w:spacing w:before="120" w:after="120" w:line="276" w:lineRule="auto"/>
        <w:rPr>
          <w:rFonts w:cs="Arial"/>
          <w:i/>
          <w:iCs/>
          <w:szCs w:val="20"/>
          <w:lang w:val="cs-CZ"/>
        </w:rPr>
      </w:pPr>
      <w:r w:rsidRPr="000C3485">
        <w:rPr>
          <w:rFonts w:cs="Arial"/>
          <w:i/>
          <w:iCs/>
          <w:szCs w:val="20"/>
          <w:lang w:val="cs-CZ"/>
        </w:rPr>
        <w:t>„Naše nejnovější generace aktivátorů umožňuje stoprocentní uvolnění léčiva, a to ve velmi krátkém čase, během zhruba půl hodiny,“</w:t>
      </w:r>
      <w:r w:rsidRPr="000C3485">
        <w:rPr>
          <w:rFonts w:cs="Arial"/>
          <w:iCs/>
          <w:szCs w:val="20"/>
          <w:lang w:val="cs-CZ"/>
        </w:rPr>
        <w:t xml:space="preserve"> popisuje Milan Vrábel a dodává: </w:t>
      </w:r>
      <w:r w:rsidRPr="000C3485">
        <w:rPr>
          <w:rFonts w:cs="Arial"/>
          <w:i/>
          <w:iCs/>
          <w:szCs w:val="20"/>
          <w:lang w:val="cs-CZ"/>
        </w:rPr>
        <w:t>„Vyšší rychlost a účinnost jsme dokázali na několika příkladech buněčných in vitro experimentů.“</w:t>
      </w:r>
    </w:p>
    <w:p w14:paraId="3715B1CF" w14:textId="77777777" w:rsidR="000C3485" w:rsidRPr="000C3485" w:rsidRDefault="000C3485" w:rsidP="000C3485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0C3485">
        <w:rPr>
          <w:rFonts w:cs="Arial"/>
          <w:iCs/>
          <w:szCs w:val="20"/>
          <w:lang w:val="cs-CZ"/>
        </w:rPr>
        <w:t xml:space="preserve">Na užití aktivátorů </w:t>
      </w:r>
      <w:proofErr w:type="spellStart"/>
      <w:r w:rsidRPr="000C3485">
        <w:rPr>
          <w:rFonts w:cs="Arial"/>
          <w:iCs/>
          <w:szCs w:val="20"/>
          <w:lang w:val="cs-CZ"/>
        </w:rPr>
        <w:t>proléčiv</w:t>
      </w:r>
      <w:proofErr w:type="spellEnd"/>
      <w:r w:rsidRPr="000C3485">
        <w:rPr>
          <w:rFonts w:cs="Arial"/>
          <w:iCs/>
          <w:szCs w:val="20"/>
          <w:lang w:val="cs-CZ"/>
        </w:rPr>
        <w:t xml:space="preserve"> pracuje nejen základní výzkum, ale i farmaceutický průmysl. Hotová je první fáze klinických testů. Ačkoliv se jedná o počáteční nedokonalé verze aktivátorů, ukazuje se, že tento koncept v lidském organismu funguje. Pokud se i díky výzkumu z ÚOCHB podaří vlastnosti molekul vylepšit, na dosah je efektivnější léčba různých nemocí, včetně rakoviny. </w:t>
      </w:r>
    </w:p>
    <w:p w14:paraId="56532658" w14:textId="77777777" w:rsidR="000C3485" w:rsidRDefault="000C3485" w:rsidP="000C3485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0C3485">
        <w:rPr>
          <w:rFonts w:cs="Arial"/>
          <w:iCs/>
          <w:szCs w:val="20"/>
          <w:lang w:val="cs-CZ"/>
        </w:rPr>
        <w:t xml:space="preserve">Výzkum vznikl mimo jiné díky podpoře Národního ústavu </w:t>
      </w:r>
      <w:proofErr w:type="spellStart"/>
      <w:r w:rsidRPr="000C3485">
        <w:rPr>
          <w:rFonts w:cs="Arial"/>
          <w:iCs/>
          <w:szCs w:val="20"/>
          <w:lang w:val="cs-CZ"/>
        </w:rPr>
        <w:t>CarDia</w:t>
      </w:r>
      <w:proofErr w:type="spellEnd"/>
      <w:r w:rsidRPr="000C3485">
        <w:rPr>
          <w:rFonts w:cs="Arial"/>
          <w:iCs/>
          <w:szCs w:val="20"/>
          <w:lang w:val="cs-CZ"/>
        </w:rPr>
        <w:t xml:space="preserve"> z programu </w:t>
      </w:r>
      <w:proofErr w:type="spellStart"/>
      <w:r w:rsidRPr="000C3485">
        <w:rPr>
          <w:rFonts w:cs="Arial"/>
          <w:iCs/>
          <w:szCs w:val="20"/>
          <w:lang w:val="cs-CZ"/>
        </w:rPr>
        <w:t>Exceles</w:t>
      </w:r>
      <w:proofErr w:type="spellEnd"/>
      <w:r w:rsidRPr="000C3485">
        <w:rPr>
          <w:rFonts w:cs="Arial"/>
          <w:iCs/>
          <w:szCs w:val="20"/>
          <w:lang w:val="cs-CZ"/>
        </w:rPr>
        <w:t xml:space="preserve"> financovaného EU a také v rámci projektu NETPHARM, který je rovněž spolufinancovaný z evropských peněz. Kromě toho šla podpora i z národních zdrojů. Vedle Grantové agentury ČR se podílel také Rakouský vědecký fond. </w:t>
      </w:r>
    </w:p>
    <w:p w14:paraId="17B496BA" w14:textId="77777777" w:rsidR="00CA1F4C" w:rsidRDefault="00CA1F4C" w:rsidP="000C3485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6A4BFFC2" w14:textId="71244694" w:rsidR="00CA1F4C" w:rsidRPr="00CA1F4C" w:rsidRDefault="00CA1F4C" w:rsidP="000C3485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u w:val="single"/>
          <w:lang w:val="cs-CZ"/>
        </w:rPr>
      </w:pPr>
      <w:r w:rsidRPr="00CA1F4C">
        <w:rPr>
          <w:rFonts w:cs="Arial"/>
          <w:iCs/>
          <w:szCs w:val="20"/>
          <w:u w:val="single"/>
          <w:lang w:val="cs-CZ"/>
        </w:rPr>
        <w:t xml:space="preserve">Původní články: </w:t>
      </w:r>
    </w:p>
    <w:p w14:paraId="31E694A6" w14:textId="65ACB385" w:rsidR="00CA1F4C" w:rsidRPr="00CA1F4C" w:rsidRDefault="00CA1F4C" w:rsidP="000C3485">
      <w:pPr>
        <w:pStyle w:val="Standard"/>
        <w:widowControl w:val="0"/>
        <w:spacing w:before="120" w:after="120" w:line="276" w:lineRule="auto"/>
        <w:rPr>
          <w:rFonts w:cs="Arial"/>
          <w:i/>
          <w:szCs w:val="20"/>
          <w:lang w:val="cs-CZ"/>
        </w:rPr>
      </w:pPr>
      <w:r w:rsidRPr="00CA1F4C">
        <w:rPr>
          <w:rFonts w:cs="Arial"/>
          <w:i/>
          <w:szCs w:val="20"/>
        </w:rPr>
        <w:t xml:space="preserve">Rahm, M.; Keppel, P.; </w:t>
      </w:r>
      <w:proofErr w:type="spellStart"/>
      <w:r w:rsidRPr="00CA1F4C">
        <w:rPr>
          <w:rFonts w:cs="Arial"/>
          <w:i/>
          <w:szCs w:val="20"/>
        </w:rPr>
        <w:t>Dzijak</w:t>
      </w:r>
      <w:proofErr w:type="spellEnd"/>
      <w:r w:rsidRPr="00CA1F4C">
        <w:rPr>
          <w:rFonts w:cs="Arial"/>
          <w:i/>
          <w:szCs w:val="20"/>
        </w:rPr>
        <w:t xml:space="preserve">, R.; </w:t>
      </w:r>
      <w:proofErr w:type="spellStart"/>
      <w:r w:rsidRPr="00CA1F4C">
        <w:rPr>
          <w:rFonts w:cs="Arial"/>
          <w:i/>
          <w:szCs w:val="20"/>
        </w:rPr>
        <w:t>Dračínský</w:t>
      </w:r>
      <w:proofErr w:type="spellEnd"/>
      <w:r w:rsidRPr="00CA1F4C">
        <w:rPr>
          <w:rFonts w:cs="Arial"/>
          <w:i/>
          <w:szCs w:val="20"/>
        </w:rPr>
        <w:t xml:space="preserve">, M.; </w:t>
      </w:r>
      <w:proofErr w:type="spellStart"/>
      <w:r w:rsidRPr="00CA1F4C">
        <w:rPr>
          <w:rFonts w:cs="Arial"/>
          <w:i/>
          <w:szCs w:val="20"/>
        </w:rPr>
        <w:t>Šlachtová</w:t>
      </w:r>
      <w:proofErr w:type="spellEnd"/>
      <w:r w:rsidRPr="00CA1F4C">
        <w:rPr>
          <w:rFonts w:cs="Arial"/>
          <w:i/>
          <w:szCs w:val="20"/>
        </w:rPr>
        <w:t xml:space="preserve">, V.; </w:t>
      </w:r>
      <w:proofErr w:type="spellStart"/>
      <w:r w:rsidRPr="00CA1F4C">
        <w:rPr>
          <w:rFonts w:cs="Arial"/>
          <w:i/>
          <w:szCs w:val="20"/>
        </w:rPr>
        <w:t>Bellová</w:t>
      </w:r>
      <w:proofErr w:type="spellEnd"/>
      <w:r w:rsidRPr="00CA1F4C">
        <w:rPr>
          <w:rFonts w:cs="Arial"/>
          <w:i/>
          <w:szCs w:val="20"/>
        </w:rPr>
        <w:t xml:space="preserve">, S.; Reyes-Gutiérrez, P. E.; Štěpánová, S.; Raffler, J. E.; </w:t>
      </w:r>
      <w:proofErr w:type="spellStart"/>
      <w:r w:rsidRPr="00CA1F4C">
        <w:rPr>
          <w:rFonts w:cs="Arial"/>
          <w:i/>
          <w:szCs w:val="20"/>
        </w:rPr>
        <w:t>Tloušťová</w:t>
      </w:r>
      <w:proofErr w:type="spellEnd"/>
      <w:r w:rsidRPr="00CA1F4C">
        <w:rPr>
          <w:rFonts w:cs="Arial"/>
          <w:i/>
          <w:szCs w:val="20"/>
        </w:rPr>
        <w:t xml:space="preserve">, E.; </w:t>
      </w:r>
      <w:proofErr w:type="spellStart"/>
      <w:r w:rsidRPr="00CA1F4C">
        <w:rPr>
          <w:rFonts w:cs="Arial"/>
          <w:i/>
          <w:szCs w:val="20"/>
        </w:rPr>
        <w:t>Mertlíková-Kaiserová</w:t>
      </w:r>
      <w:proofErr w:type="spellEnd"/>
      <w:r w:rsidRPr="00CA1F4C">
        <w:rPr>
          <w:rFonts w:cs="Arial"/>
          <w:i/>
          <w:szCs w:val="20"/>
        </w:rPr>
        <w:t xml:space="preserve">, H.; Mikula, H.; Vrabel, M. Sulfonated Hydroxyaryl-Tetrazines with Increased </w:t>
      </w:r>
      <w:proofErr w:type="spellStart"/>
      <w:r w:rsidRPr="00CA1F4C">
        <w:rPr>
          <w:rFonts w:cs="Arial"/>
          <w:i/>
          <w:szCs w:val="20"/>
        </w:rPr>
        <w:t>pKa</w:t>
      </w:r>
      <w:proofErr w:type="spellEnd"/>
      <w:r w:rsidRPr="00CA1F4C">
        <w:rPr>
          <w:rFonts w:cs="Arial"/>
          <w:i/>
          <w:szCs w:val="20"/>
        </w:rPr>
        <w:t xml:space="preserve"> for Accelerated </w:t>
      </w:r>
      <w:proofErr w:type="spellStart"/>
      <w:r w:rsidRPr="00CA1F4C">
        <w:rPr>
          <w:rFonts w:cs="Arial"/>
          <w:i/>
          <w:szCs w:val="20"/>
        </w:rPr>
        <w:t>Bioorthogonal</w:t>
      </w:r>
      <w:proofErr w:type="spellEnd"/>
      <w:r w:rsidRPr="00CA1F4C">
        <w:rPr>
          <w:rFonts w:cs="Arial"/>
          <w:i/>
          <w:szCs w:val="20"/>
        </w:rPr>
        <w:t xml:space="preserve"> Click-to-Release Reactions in Cells. </w:t>
      </w:r>
      <w:proofErr w:type="spellStart"/>
      <w:r w:rsidRPr="00CA1F4C">
        <w:rPr>
          <w:rFonts w:cs="Arial"/>
          <w:i/>
          <w:szCs w:val="20"/>
        </w:rPr>
        <w:t>Angew</w:t>
      </w:r>
      <w:proofErr w:type="spellEnd"/>
      <w:r w:rsidRPr="00CA1F4C">
        <w:rPr>
          <w:rFonts w:cs="Arial"/>
          <w:i/>
          <w:szCs w:val="20"/>
        </w:rPr>
        <w:t xml:space="preserve">. Chem. Int. Ed. </w:t>
      </w:r>
      <w:r w:rsidRPr="00CA1F4C">
        <w:rPr>
          <w:rFonts w:cs="Arial"/>
          <w:b/>
          <w:bCs/>
          <w:i/>
          <w:szCs w:val="20"/>
        </w:rPr>
        <w:t>2024</w:t>
      </w:r>
      <w:r w:rsidRPr="00CA1F4C">
        <w:rPr>
          <w:rFonts w:cs="Arial"/>
          <w:i/>
          <w:szCs w:val="20"/>
        </w:rPr>
        <w:t xml:space="preserve">, e202411713. </w:t>
      </w:r>
      <w:hyperlink r:id="rId7" w:tgtFrame="_blank" w:history="1">
        <w:r w:rsidRPr="00CA1F4C">
          <w:rPr>
            <w:rStyle w:val="Hypertextovodkaz"/>
            <w:rFonts w:cs="Arial"/>
            <w:i/>
            <w:szCs w:val="20"/>
          </w:rPr>
          <w:t>https://doi.org/10.1002/anie.202411713</w:t>
        </w:r>
      </w:hyperlink>
    </w:p>
    <w:p w14:paraId="336932AF" w14:textId="166E095F" w:rsidR="00CA1F4C" w:rsidRPr="00CA1F4C" w:rsidRDefault="00CA1F4C" w:rsidP="000C3485">
      <w:pPr>
        <w:pStyle w:val="Standard"/>
        <w:widowControl w:val="0"/>
        <w:spacing w:before="120" w:after="120" w:line="276" w:lineRule="auto"/>
        <w:rPr>
          <w:rFonts w:cs="Arial"/>
          <w:i/>
          <w:szCs w:val="20"/>
          <w:lang w:val="cs-CZ"/>
        </w:rPr>
      </w:pPr>
      <w:proofErr w:type="spellStart"/>
      <w:r w:rsidRPr="00CA1F4C">
        <w:rPr>
          <w:rFonts w:cs="Arial"/>
          <w:i/>
          <w:szCs w:val="20"/>
        </w:rPr>
        <w:lastRenderedPageBreak/>
        <w:t>Wilkovitsch</w:t>
      </w:r>
      <w:proofErr w:type="spellEnd"/>
      <w:r w:rsidRPr="00CA1F4C">
        <w:rPr>
          <w:rFonts w:cs="Arial"/>
          <w:i/>
          <w:szCs w:val="20"/>
        </w:rPr>
        <w:t xml:space="preserve">, M.; Kuba, W.; Keppel, P.; </w:t>
      </w:r>
      <w:proofErr w:type="spellStart"/>
      <w:r w:rsidRPr="00CA1F4C">
        <w:rPr>
          <w:rFonts w:cs="Arial"/>
          <w:i/>
          <w:szCs w:val="20"/>
        </w:rPr>
        <w:t>Sohr</w:t>
      </w:r>
      <w:proofErr w:type="spellEnd"/>
      <w:r w:rsidRPr="00CA1F4C">
        <w:rPr>
          <w:rFonts w:cs="Arial"/>
          <w:i/>
          <w:szCs w:val="20"/>
        </w:rPr>
        <w:t xml:space="preserve">, B.; Löffler, A.; </w:t>
      </w:r>
      <w:proofErr w:type="spellStart"/>
      <w:r w:rsidRPr="00CA1F4C">
        <w:rPr>
          <w:rFonts w:cs="Arial"/>
          <w:i/>
          <w:szCs w:val="20"/>
        </w:rPr>
        <w:t>Kronister</w:t>
      </w:r>
      <w:proofErr w:type="spellEnd"/>
      <w:r w:rsidRPr="00CA1F4C">
        <w:rPr>
          <w:rFonts w:cs="Arial"/>
          <w:i/>
          <w:szCs w:val="20"/>
        </w:rPr>
        <w:t xml:space="preserve">, S.; Fernandez del Castillo, A.; </w:t>
      </w:r>
      <w:proofErr w:type="spellStart"/>
      <w:r w:rsidRPr="00CA1F4C">
        <w:rPr>
          <w:rFonts w:cs="Arial"/>
          <w:i/>
          <w:szCs w:val="20"/>
        </w:rPr>
        <w:t>Goldeck</w:t>
      </w:r>
      <w:proofErr w:type="spellEnd"/>
      <w:r w:rsidRPr="00CA1F4C">
        <w:rPr>
          <w:rFonts w:cs="Arial"/>
          <w:i/>
          <w:szCs w:val="20"/>
        </w:rPr>
        <w:t xml:space="preserve">, M.; </w:t>
      </w:r>
      <w:proofErr w:type="spellStart"/>
      <w:r w:rsidRPr="00CA1F4C">
        <w:rPr>
          <w:rFonts w:cs="Arial"/>
          <w:i/>
          <w:szCs w:val="20"/>
        </w:rPr>
        <w:t>Dzijak</w:t>
      </w:r>
      <w:proofErr w:type="spellEnd"/>
      <w:r w:rsidRPr="00CA1F4C">
        <w:rPr>
          <w:rFonts w:cs="Arial"/>
          <w:i/>
          <w:szCs w:val="20"/>
        </w:rPr>
        <w:t xml:space="preserve">, R.; Rahm, M.; Vrabel, M.; </w:t>
      </w:r>
      <w:proofErr w:type="spellStart"/>
      <w:r w:rsidRPr="00CA1F4C">
        <w:rPr>
          <w:rFonts w:cs="Arial"/>
          <w:i/>
          <w:szCs w:val="20"/>
        </w:rPr>
        <w:t>Svatunek</w:t>
      </w:r>
      <w:proofErr w:type="spellEnd"/>
      <w:r w:rsidRPr="00CA1F4C">
        <w:rPr>
          <w:rFonts w:cs="Arial"/>
          <w:i/>
          <w:szCs w:val="20"/>
        </w:rPr>
        <w:t xml:space="preserve">, D.; Carlson, J.; Mikula, H. Transforming Aryl-Tetrazines into </w:t>
      </w:r>
      <w:proofErr w:type="spellStart"/>
      <w:r w:rsidRPr="00CA1F4C">
        <w:rPr>
          <w:rFonts w:cs="Arial"/>
          <w:i/>
          <w:szCs w:val="20"/>
        </w:rPr>
        <w:t>Bioorthogonal</w:t>
      </w:r>
      <w:proofErr w:type="spellEnd"/>
      <w:r w:rsidRPr="00CA1F4C">
        <w:rPr>
          <w:rFonts w:cs="Arial"/>
          <w:i/>
          <w:szCs w:val="20"/>
        </w:rPr>
        <w:t xml:space="preserve"> Scissors for Systematic Cleavage of trans-Cyclooctenes. </w:t>
      </w:r>
      <w:proofErr w:type="spellStart"/>
      <w:r w:rsidRPr="00CA1F4C">
        <w:rPr>
          <w:rFonts w:cs="Arial"/>
          <w:i/>
          <w:szCs w:val="20"/>
        </w:rPr>
        <w:t>Angew</w:t>
      </w:r>
      <w:proofErr w:type="spellEnd"/>
      <w:r w:rsidRPr="00CA1F4C">
        <w:rPr>
          <w:rFonts w:cs="Arial"/>
          <w:i/>
          <w:szCs w:val="20"/>
        </w:rPr>
        <w:t xml:space="preserve">. Chem. Int. Ed. </w:t>
      </w:r>
      <w:r w:rsidRPr="00CA1F4C">
        <w:rPr>
          <w:rFonts w:cs="Arial"/>
          <w:b/>
          <w:bCs/>
          <w:i/>
          <w:szCs w:val="20"/>
        </w:rPr>
        <w:t>2024</w:t>
      </w:r>
      <w:r w:rsidRPr="00CA1F4C">
        <w:rPr>
          <w:rFonts w:cs="Arial"/>
          <w:i/>
          <w:szCs w:val="20"/>
        </w:rPr>
        <w:t xml:space="preserve">, e202411707. </w:t>
      </w:r>
      <w:hyperlink r:id="rId8" w:tgtFrame="_blank" w:history="1">
        <w:r w:rsidRPr="00CA1F4C">
          <w:rPr>
            <w:rStyle w:val="Hypertextovodkaz"/>
            <w:rFonts w:cs="Arial"/>
            <w:i/>
            <w:szCs w:val="20"/>
          </w:rPr>
          <w:t>https://doi.org/10.1002/anie.202411707</w:t>
        </w:r>
      </w:hyperlink>
    </w:p>
    <w:p w14:paraId="77886039" w14:textId="4EF2D722" w:rsidR="00456677" w:rsidRPr="00CA1F4C" w:rsidRDefault="007B3C52" w:rsidP="007B3C52">
      <w:pPr>
        <w:pStyle w:val="Standard"/>
        <w:widowControl w:val="0"/>
        <w:spacing w:before="120" w:after="120" w:line="276" w:lineRule="auto"/>
        <w:rPr>
          <w:rFonts w:cs="Arial"/>
          <w:i/>
          <w:szCs w:val="20"/>
          <w:lang w:val="cs-CZ"/>
        </w:rPr>
      </w:pPr>
      <w:r w:rsidRPr="00CA1F4C">
        <w:rPr>
          <w:rFonts w:cs="Arial"/>
          <w:i/>
          <w:szCs w:val="20"/>
          <w:lang w:val="cs-CZ"/>
        </w:rPr>
        <w:t xml:space="preserve"> </w:t>
      </w:r>
    </w:p>
    <w:bookmarkEnd w:id="2"/>
    <w:p w14:paraId="37F6AAD3" w14:textId="77777777" w:rsidR="008D1D7E" w:rsidRPr="00CA1F4C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9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10" w:history="1">
        <w:r w:rsidRPr="0040756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1143DA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E2FF" w14:textId="77777777" w:rsidR="005403C1" w:rsidRDefault="005403C1" w:rsidP="00AF7F5A">
      <w:r>
        <w:separator/>
      </w:r>
    </w:p>
  </w:endnote>
  <w:endnote w:type="continuationSeparator" w:id="0">
    <w:p w14:paraId="11E54510" w14:textId="77777777" w:rsidR="005403C1" w:rsidRDefault="005403C1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51F9176C">
          <wp:simplePos x="0" y="0"/>
          <wp:positionH relativeFrom="margin">
            <wp:posOffset>-887953</wp:posOffset>
          </wp:positionH>
          <wp:positionV relativeFrom="margin">
            <wp:posOffset>8734821</wp:posOffset>
          </wp:positionV>
          <wp:extent cx="7546596" cy="971550"/>
          <wp:effectExtent l="0" t="0" r="0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6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F84A" w14:textId="77777777" w:rsidR="005403C1" w:rsidRDefault="005403C1" w:rsidP="00AF7F5A">
      <w:r>
        <w:separator/>
      </w:r>
    </w:p>
  </w:footnote>
  <w:footnote w:type="continuationSeparator" w:id="0">
    <w:p w14:paraId="2DD4B94A" w14:textId="77777777" w:rsidR="005403C1" w:rsidRDefault="005403C1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18080594">
          <wp:simplePos x="0" y="0"/>
          <wp:positionH relativeFrom="column">
            <wp:posOffset>-886781</wp:posOffset>
          </wp:positionH>
          <wp:positionV relativeFrom="paragraph">
            <wp:posOffset>0</wp:posOffset>
          </wp:positionV>
          <wp:extent cx="7559672" cy="1919681"/>
          <wp:effectExtent l="0" t="0" r="3810" b="4445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2" cy="1919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0DCB"/>
    <w:rsid w:val="00003E03"/>
    <w:rsid w:val="0000552D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B5FE5"/>
    <w:rsid w:val="000C3485"/>
    <w:rsid w:val="000C48B9"/>
    <w:rsid w:val="000C4D9E"/>
    <w:rsid w:val="000D457B"/>
    <w:rsid w:val="000E0E27"/>
    <w:rsid w:val="000E5E27"/>
    <w:rsid w:val="000E694E"/>
    <w:rsid w:val="001009D7"/>
    <w:rsid w:val="001143DA"/>
    <w:rsid w:val="00121FB2"/>
    <w:rsid w:val="00124955"/>
    <w:rsid w:val="001251A9"/>
    <w:rsid w:val="0013285C"/>
    <w:rsid w:val="001405DF"/>
    <w:rsid w:val="00144C5A"/>
    <w:rsid w:val="001570BC"/>
    <w:rsid w:val="00171030"/>
    <w:rsid w:val="00194496"/>
    <w:rsid w:val="001A0F7A"/>
    <w:rsid w:val="001A60D0"/>
    <w:rsid w:val="001D113F"/>
    <w:rsid w:val="001E2462"/>
    <w:rsid w:val="00211044"/>
    <w:rsid w:val="00216214"/>
    <w:rsid w:val="00231BF4"/>
    <w:rsid w:val="00234FBA"/>
    <w:rsid w:val="00240586"/>
    <w:rsid w:val="00262A5A"/>
    <w:rsid w:val="00297A1D"/>
    <w:rsid w:val="002A14A1"/>
    <w:rsid w:val="002A218E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77168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07561"/>
    <w:rsid w:val="00456677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D21B2"/>
    <w:rsid w:val="0050323B"/>
    <w:rsid w:val="0050352F"/>
    <w:rsid w:val="00505B7A"/>
    <w:rsid w:val="00511B15"/>
    <w:rsid w:val="00521C2C"/>
    <w:rsid w:val="0052203D"/>
    <w:rsid w:val="00523415"/>
    <w:rsid w:val="005403C1"/>
    <w:rsid w:val="00550A33"/>
    <w:rsid w:val="00557F20"/>
    <w:rsid w:val="00561DC3"/>
    <w:rsid w:val="00566DB2"/>
    <w:rsid w:val="005A1E70"/>
    <w:rsid w:val="005A6320"/>
    <w:rsid w:val="005C04E3"/>
    <w:rsid w:val="005C69CD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2FAC"/>
    <w:rsid w:val="00694738"/>
    <w:rsid w:val="006A2EB9"/>
    <w:rsid w:val="006A3902"/>
    <w:rsid w:val="006A7334"/>
    <w:rsid w:val="006B582C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3C52"/>
    <w:rsid w:val="007B411C"/>
    <w:rsid w:val="007B77E9"/>
    <w:rsid w:val="007C01B3"/>
    <w:rsid w:val="007D2D4A"/>
    <w:rsid w:val="00802658"/>
    <w:rsid w:val="00806E47"/>
    <w:rsid w:val="00814C13"/>
    <w:rsid w:val="008256E8"/>
    <w:rsid w:val="00830C8E"/>
    <w:rsid w:val="00860146"/>
    <w:rsid w:val="00867BDA"/>
    <w:rsid w:val="0087543F"/>
    <w:rsid w:val="00876B8A"/>
    <w:rsid w:val="008930DD"/>
    <w:rsid w:val="008B3011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60C65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9F38D0"/>
    <w:rsid w:val="00A100EF"/>
    <w:rsid w:val="00A12362"/>
    <w:rsid w:val="00A16920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018FA"/>
    <w:rsid w:val="00B16A0E"/>
    <w:rsid w:val="00B24E0C"/>
    <w:rsid w:val="00B24F50"/>
    <w:rsid w:val="00B42B7E"/>
    <w:rsid w:val="00B43B4D"/>
    <w:rsid w:val="00B451EC"/>
    <w:rsid w:val="00B50CC4"/>
    <w:rsid w:val="00B51446"/>
    <w:rsid w:val="00B531D4"/>
    <w:rsid w:val="00B56557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A1F4C"/>
    <w:rsid w:val="00CB77FB"/>
    <w:rsid w:val="00CC33E4"/>
    <w:rsid w:val="00CD7289"/>
    <w:rsid w:val="00CE27F3"/>
    <w:rsid w:val="00CF0DE7"/>
    <w:rsid w:val="00CF4426"/>
    <w:rsid w:val="00D05D01"/>
    <w:rsid w:val="00D1249C"/>
    <w:rsid w:val="00D124AC"/>
    <w:rsid w:val="00D1568D"/>
    <w:rsid w:val="00D21D82"/>
    <w:rsid w:val="00D272B9"/>
    <w:rsid w:val="00D27F16"/>
    <w:rsid w:val="00D40BC4"/>
    <w:rsid w:val="00D54D47"/>
    <w:rsid w:val="00D639CC"/>
    <w:rsid w:val="00D8016E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3B27"/>
    <w:rsid w:val="00F04DDE"/>
    <w:rsid w:val="00F40C69"/>
    <w:rsid w:val="00F42A51"/>
    <w:rsid w:val="00F661EA"/>
    <w:rsid w:val="00F7589A"/>
    <w:rsid w:val="00F856CF"/>
    <w:rsid w:val="00F870DD"/>
    <w:rsid w:val="00FB0AF3"/>
    <w:rsid w:val="00FB131A"/>
    <w:rsid w:val="00FC1E51"/>
    <w:rsid w:val="00FD5077"/>
    <w:rsid w:val="00FD6A3A"/>
    <w:rsid w:val="00FE0664"/>
    <w:rsid w:val="00FE25FC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anie.20241170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i.org/10.1002/anie.20241171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eronika.sedlackova@uochb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chb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547</Words>
  <Characters>3307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4</cp:revision>
  <cp:lastPrinted>2017-08-09T12:51:00Z</cp:lastPrinted>
  <dcterms:created xsi:type="dcterms:W3CDTF">2024-09-27T12:32:00Z</dcterms:created>
  <dcterms:modified xsi:type="dcterms:W3CDTF">2024-10-14T12:27:00Z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